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14F7" w14:textId="77248636" w:rsidR="00466418" w:rsidRDefault="00466418" w:rsidP="00466418">
      <w:pPr>
        <w:spacing w:before="100" w:beforeAutospacing="1" w:after="100" w:afterAutospacing="1"/>
        <w:jc w:val="center"/>
        <w:rPr>
          <w:lang w:eastAsia="da-DK"/>
        </w:rPr>
      </w:pPr>
      <w:r w:rsidRPr="00466418">
        <w:rPr>
          <w:color w:val="2F5496" w:themeColor="accent1" w:themeShade="BF"/>
          <w:sz w:val="36"/>
          <w:szCs w:val="36"/>
          <w:lang w:eastAsia="da-DK"/>
        </w:rPr>
        <w:t>Vejledning i dannelse af XML med betalingsdata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675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0CAE55" w14:textId="1B362A16" w:rsidR="0026058A" w:rsidRDefault="0026058A">
          <w:pPr>
            <w:pStyle w:val="Overskrift"/>
          </w:pPr>
          <w:r>
            <w:t>Indhold</w:t>
          </w:r>
        </w:p>
        <w:p w14:paraId="52CDDC2E" w14:textId="69696BD9" w:rsidR="00AE7248" w:rsidRDefault="002605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171926" w:history="1">
            <w:r w:rsidR="00AE7248" w:rsidRPr="00DA61D9">
              <w:rPr>
                <w:rStyle w:val="Hyperlink"/>
                <w:noProof/>
              </w:rPr>
              <w:t>1. Formål med vejledningen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_Toc150171926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1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3E84C201" w14:textId="7AD9CB21" w:rsidR="00AE7248" w:rsidRDefault="00DC49B8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27" w:history="1">
            <w:r w:rsidR="00AE7248" w:rsidRPr="00DA61D9">
              <w:rPr>
                <w:rStyle w:val="Hyperlink"/>
                <w:noProof/>
              </w:rPr>
              <w:t>2. Tekniske krav til indleveringer til CESOP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_Toc150171927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2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06136C6B" w14:textId="2687DE82" w:rsidR="00AE7248" w:rsidRDefault="00DC49B8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28" w:history="1">
            <w:r w:rsidR="00AE7248" w:rsidRPr="00DA61D9">
              <w:rPr>
                <w:rStyle w:val="Hyperlink"/>
                <w:noProof/>
                <w:lang w:eastAsia="da-DK"/>
              </w:rPr>
              <w:t>2.1 CESOP XSD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_Toc150171928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2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3233065C" w14:textId="7129EBDF" w:rsidR="00AE7248" w:rsidRDefault="00DC49B8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29" w:history="1">
            <w:r w:rsidR="00AE7248" w:rsidRPr="00DA61D9">
              <w:rPr>
                <w:rStyle w:val="Hyperlink"/>
                <w:noProof/>
                <w:lang w:eastAsia="da-DK"/>
              </w:rPr>
              <w:t>2.2 Danske forretningsregler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_Toc150171929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2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6A87C7D1" w14:textId="4853BE08" w:rsidR="00AE7248" w:rsidRDefault="00DC49B8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30" w:history="1">
            <w:r w:rsidR="00AE7248" w:rsidRPr="00DA61D9">
              <w:rPr>
                <w:rStyle w:val="Hyperlink"/>
                <w:noProof/>
                <w:lang w:eastAsia="da-DK"/>
              </w:rPr>
              <w:t>3. Indberetnings-, og valideringsflow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_Toc150171930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3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7609994E" w14:textId="716E2331" w:rsidR="00AE7248" w:rsidRDefault="00DC49B8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31" w:history="1">
            <w:r w:rsidR="00AE7248" w:rsidRPr="00DA61D9">
              <w:rPr>
                <w:rStyle w:val="Hyperlink"/>
                <w:noProof/>
                <w:lang w:eastAsia="da-DK"/>
              </w:rPr>
              <w:t>3.1 Kvittering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_Toc150171931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3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694B3341" w14:textId="65474A29" w:rsidR="00AE7248" w:rsidRDefault="00DC49B8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32" w:history="1">
            <w:r w:rsidR="00AE7248" w:rsidRPr="00DA61D9">
              <w:rPr>
                <w:rStyle w:val="Hyperlink"/>
                <w:noProof/>
                <w:lang w:eastAsia="da-DK"/>
              </w:rPr>
              <w:t>3.2 National validering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_Toc150171932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3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04FA3070" w14:textId="48A1A0DB" w:rsidR="00AE7248" w:rsidRDefault="00DC49B8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33" w:history="1">
            <w:r w:rsidR="00AE7248" w:rsidRPr="00DA61D9">
              <w:rPr>
                <w:rStyle w:val="Hyperlink"/>
                <w:noProof/>
                <w:lang w:eastAsia="da-DK"/>
              </w:rPr>
              <w:t>3.2.1 National validering afvist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_Toc150171933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3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0D20FAC7" w14:textId="6D79DB8F" w:rsidR="00AE7248" w:rsidRDefault="00DC49B8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34" w:history="1">
            <w:r w:rsidR="00AE7248" w:rsidRPr="00DA61D9">
              <w:rPr>
                <w:rStyle w:val="Hyperlink"/>
                <w:noProof/>
                <w:lang w:eastAsia="da-DK"/>
              </w:rPr>
              <w:t>3.2.2 National validering godkendt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_Toc150171934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3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45415FB6" w14:textId="2BE40901" w:rsidR="00AE7248" w:rsidRDefault="00DC49B8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35" w:history="1">
            <w:r w:rsidR="00AE7248" w:rsidRPr="00DA61D9">
              <w:rPr>
                <w:rStyle w:val="Hyperlink"/>
                <w:noProof/>
                <w:lang w:eastAsia="da-DK"/>
              </w:rPr>
              <w:t>3.2 EU-validering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_Toc150171935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4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7801A487" w14:textId="77A4001F" w:rsidR="00AE7248" w:rsidRDefault="00DC49B8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36" w:history="1">
            <w:r w:rsidR="00AE7248" w:rsidRPr="00DA61D9">
              <w:rPr>
                <w:rStyle w:val="Hyperlink"/>
                <w:noProof/>
                <w:lang w:eastAsia="da-DK"/>
              </w:rPr>
              <w:t xml:space="preserve">3.2.1 EU valideringssvar </w:t>
            </w:r>
            <w:r w:rsidR="00AE7248" w:rsidRPr="00DA61D9">
              <w:rPr>
                <w:rStyle w:val="Hyperlink"/>
                <w:noProof/>
              </w:rPr>
              <w:t>"FULLY REJECTED "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_Toc150171936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4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7211BFF5" w14:textId="7FDBB6B6" w:rsidR="00AE7248" w:rsidRDefault="00DC49B8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37" w:history="1">
            <w:r w:rsidR="00AE7248" w:rsidRPr="00DA61D9">
              <w:rPr>
                <w:rStyle w:val="Hyperlink"/>
                <w:noProof/>
                <w:lang w:eastAsia="da-DK"/>
              </w:rPr>
              <w:t xml:space="preserve">3.2.2 EU valideringssvar </w:t>
            </w:r>
            <w:r w:rsidR="00AE7248" w:rsidRPr="00DA61D9">
              <w:rPr>
                <w:rStyle w:val="Hyperlink"/>
                <w:noProof/>
              </w:rPr>
              <w:t>" PARTIALLY REJECTED’ "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_Toc150171937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4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2DFE1004" w14:textId="43C7BE7C" w:rsidR="00AE7248" w:rsidRDefault="00DC49B8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38" w:history="1">
            <w:r w:rsidR="00AE7248" w:rsidRPr="00DA61D9">
              <w:rPr>
                <w:rStyle w:val="Hyperlink"/>
                <w:noProof/>
                <w:lang w:eastAsia="da-DK"/>
              </w:rPr>
              <w:t xml:space="preserve">3.2.1 EU valideringssvar </w:t>
            </w:r>
            <w:r w:rsidR="00AE7248" w:rsidRPr="00DA61D9">
              <w:rPr>
                <w:rStyle w:val="Hyperlink"/>
                <w:noProof/>
              </w:rPr>
              <w:t>" VALIDATED'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_Toc150171938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4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06B94698" w14:textId="574ADB34" w:rsidR="00AE7248" w:rsidRDefault="00DC49B8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39" w:history="1">
            <w:r w:rsidR="00AE7248" w:rsidRPr="00DA61D9">
              <w:rPr>
                <w:rStyle w:val="Hyperlink"/>
                <w:noProof/>
                <w:lang w:eastAsia="da-DK"/>
              </w:rPr>
              <w:t>3.3 Status på indlevering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_Toc150171939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4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0CD5E03B" w14:textId="7418A047" w:rsidR="00AE7248" w:rsidRDefault="00DC49B8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0171940" w:history="1">
            <w:r w:rsidR="00AE7248" w:rsidRPr="00DA61D9">
              <w:rPr>
                <w:rStyle w:val="Hyperlink"/>
                <w:noProof/>
                <w:lang w:eastAsia="da-DK"/>
              </w:rPr>
              <w:t>4. Rettelser</w:t>
            </w:r>
            <w:r w:rsidR="00AE7248">
              <w:rPr>
                <w:noProof/>
                <w:webHidden/>
              </w:rPr>
              <w:tab/>
            </w:r>
            <w:r w:rsidR="00AE7248">
              <w:rPr>
                <w:noProof/>
                <w:webHidden/>
              </w:rPr>
              <w:fldChar w:fldCharType="begin"/>
            </w:r>
            <w:r w:rsidR="00AE7248">
              <w:rPr>
                <w:noProof/>
                <w:webHidden/>
              </w:rPr>
              <w:instrText xml:space="preserve"> PAGEREF _Toc150171940 \h </w:instrText>
            </w:r>
            <w:r w:rsidR="00AE7248">
              <w:rPr>
                <w:noProof/>
                <w:webHidden/>
              </w:rPr>
            </w:r>
            <w:r w:rsidR="00AE7248">
              <w:rPr>
                <w:noProof/>
                <w:webHidden/>
              </w:rPr>
              <w:fldChar w:fldCharType="separate"/>
            </w:r>
            <w:r w:rsidR="004576E3">
              <w:rPr>
                <w:noProof/>
                <w:webHidden/>
              </w:rPr>
              <w:t>5</w:t>
            </w:r>
            <w:r w:rsidR="00AE7248">
              <w:rPr>
                <w:noProof/>
                <w:webHidden/>
              </w:rPr>
              <w:fldChar w:fldCharType="end"/>
            </w:r>
          </w:hyperlink>
        </w:p>
        <w:p w14:paraId="2488FFD2" w14:textId="0407F4F4" w:rsidR="0026058A" w:rsidRDefault="0026058A">
          <w:r>
            <w:rPr>
              <w:b/>
              <w:bCs/>
            </w:rPr>
            <w:fldChar w:fldCharType="end"/>
          </w:r>
        </w:p>
      </w:sdtContent>
    </w:sdt>
    <w:p w14:paraId="5BFFBFE8" w14:textId="6A761DC9" w:rsidR="006868F7" w:rsidRDefault="006868F7" w:rsidP="006868F7">
      <w:pPr>
        <w:rPr>
          <w:b/>
          <w:bCs/>
        </w:rPr>
      </w:pPr>
      <w:r>
        <w:rPr>
          <w:b/>
          <w:bCs/>
        </w:rPr>
        <w:t>Versionshistorik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1699"/>
      </w:tblGrid>
      <w:tr w:rsidR="00827701" w14:paraId="75E38217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0CBB" w14:textId="77777777" w:rsidR="00827701" w:rsidRDefault="00827701">
            <w:pPr>
              <w:spacing w:line="240" w:lineRule="auto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5FE4" w14:textId="77777777" w:rsidR="00827701" w:rsidRDefault="00827701">
            <w:pPr>
              <w:spacing w:line="240" w:lineRule="auto"/>
              <w:rPr>
                <w:b/>
              </w:rPr>
            </w:pPr>
            <w:r>
              <w:rPr>
                <w:b/>
              </w:rPr>
              <w:t>Udgivelsesdato</w:t>
            </w:r>
          </w:p>
        </w:tc>
      </w:tr>
      <w:tr w:rsidR="00827701" w14:paraId="5D52CADE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0053" w14:textId="3EB96E1A" w:rsidR="00827701" w:rsidRDefault="00827701">
            <w:pPr>
              <w:spacing w:line="240" w:lineRule="auto"/>
            </w:pPr>
            <w: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742" w14:textId="478C8B77" w:rsidR="00827701" w:rsidRDefault="00827701">
            <w:pPr>
              <w:spacing w:line="240" w:lineRule="auto"/>
            </w:pPr>
            <w:r>
              <w:t>07-11-202</w:t>
            </w:r>
            <w:r w:rsidR="00B41171">
              <w:t>3</w:t>
            </w:r>
          </w:p>
        </w:tc>
      </w:tr>
      <w:tr w:rsidR="00B41171" w14:paraId="6CFCFD44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670B" w14:textId="2D1721A8" w:rsidR="00B41171" w:rsidRDefault="00B41171">
            <w:pPr>
              <w:spacing w:line="240" w:lineRule="auto"/>
            </w:pPr>
            <w:r>
              <w:t>1.3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F8F" w14:textId="209D3407" w:rsidR="00B41171" w:rsidRDefault="00101543">
            <w:pPr>
              <w:spacing w:line="240" w:lineRule="auto"/>
            </w:pPr>
            <w:r>
              <w:t>10</w:t>
            </w:r>
            <w:r w:rsidR="00544FEF">
              <w:t>-07</w:t>
            </w:r>
            <w:r w:rsidR="00B41171">
              <w:t>-2025</w:t>
            </w:r>
          </w:p>
        </w:tc>
      </w:tr>
    </w:tbl>
    <w:p w14:paraId="3C93A60A" w14:textId="77777777" w:rsidR="006868F7" w:rsidRDefault="006868F7" w:rsidP="006868F7"/>
    <w:p w14:paraId="06CD55F9" w14:textId="59DE891B" w:rsidR="007004ED" w:rsidRDefault="00487EBD" w:rsidP="00A31952">
      <w:pPr>
        <w:pStyle w:val="Overskrift1"/>
        <w:numPr>
          <w:ilvl w:val="0"/>
          <w:numId w:val="2"/>
        </w:numPr>
      </w:pPr>
      <w:bookmarkStart w:id="0" w:name="_Toc150171926"/>
      <w:r>
        <w:t>F</w:t>
      </w:r>
      <w:r w:rsidR="0026058A">
        <w:t>ormål med vejledningen</w:t>
      </w:r>
      <w:bookmarkEnd w:id="0"/>
    </w:p>
    <w:p w14:paraId="7E0058C4" w14:textId="0AAD2890" w:rsidR="00A31952" w:rsidRDefault="00A31952" w:rsidP="00A31952">
      <w:r>
        <w:t xml:space="preserve">Denne vejledning henvender sig til finansielle </w:t>
      </w:r>
      <w:r w:rsidR="00544FEF">
        <w:t>virksomheder</w:t>
      </w:r>
      <w:r>
        <w:t xml:space="preserve">, </w:t>
      </w:r>
      <w:proofErr w:type="spellStart"/>
      <w:r>
        <w:t>PSP’ere</w:t>
      </w:r>
      <w:proofErr w:type="spellEnd"/>
      <w:r w:rsidRPr="00FD10A4">
        <w:rPr>
          <w:rStyle w:val="Fodnotehenvisning"/>
        </w:rPr>
        <w:t xml:space="preserve"> </w:t>
      </w:r>
      <w:r>
        <w:rPr>
          <w:rStyle w:val="Fodnotehenvisning"/>
        </w:rPr>
        <w:footnoteReference w:id="1"/>
      </w:r>
      <w:r>
        <w:t>, som formidler betalinger på tværs af grænser. Disse finansielle virksomheder skal indberette deres betalinger på tværs af grænser i et XML-format til Skattestyrelsen, som videresender informationerne til en central EU-database, CESOP-EU</w:t>
      </w:r>
      <w:r>
        <w:rPr>
          <w:rStyle w:val="Fodnotehenvisning"/>
        </w:rPr>
        <w:footnoteReference w:id="2"/>
      </w:r>
      <w:r>
        <w:t>.</w:t>
      </w:r>
    </w:p>
    <w:p w14:paraId="00C9BF40" w14:textId="1AD4B193" w:rsidR="0026058A" w:rsidRDefault="0026058A" w:rsidP="0026058A">
      <w:r>
        <w:t>Formålet med denne vejledning er at beskrive</w:t>
      </w:r>
      <w:r w:rsidR="004C40D0">
        <w:t>,</w:t>
      </w:r>
      <w:r>
        <w:t xml:space="preserve"> hv</w:t>
      </w:r>
      <w:r w:rsidR="00FE6ACF">
        <w:t>ilke krav der stilles til de</w:t>
      </w:r>
      <w:r w:rsidR="00487EBD">
        <w:t>t</w:t>
      </w:r>
      <w:r w:rsidR="00FE6ACF">
        <w:t xml:space="preserve"> indleverede XML</w:t>
      </w:r>
      <w:r w:rsidR="00487EBD">
        <w:t>-skema</w:t>
      </w:r>
      <w:r w:rsidR="00FE6ACF">
        <w:t>. Vejledningen indeholder både tekniske og forretningsmæssige regler.</w:t>
      </w:r>
    </w:p>
    <w:p w14:paraId="792E3583" w14:textId="0F3E98E5" w:rsidR="00FE6ACF" w:rsidRDefault="005E2863" w:rsidP="0026058A">
      <w:r>
        <w:t xml:space="preserve">Vejledningen beskriver også </w:t>
      </w:r>
      <w:r w:rsidR="00FE6ACF">
        <w:t xml:space="preserve">indberetnings- og </w:t>
      </w:r>
      <w:proofErr w:type="spellStart"/>
      <w:r w:rsidR="00FE6ACF">
        <w:t>valideringsflow</w:t>
      </w:r>
      <w:proofErr w:type="spellEnd"/>
      <w:r>
        <w:t xml:space="preserve">, </w:t>
      </w:r>
      <w:r w:rsidR="00FE6ACF">
        <w:t>som data skal gennemgå for at blive endeligt godkendt.</w:t>
      </w:r>
    </w:p>
    <w:p w14:paraId="23967C10" w14:textId="5F223A31" w:rsidR="0026058A" w:rsidRDefault="0026058A" w:rsidP="0026058A"/>
    <w:p w14:paraId="3F1F5579" w14:textId="2354A9A6" w:rsidR="0026058A" w:rsidRDefault="00BE71B5" w:rsidP="00BE71B5">
      <w:pPr>
        <w:pStyle w:val="Overskrift1"/>
      </w:pPr>
      <w:bookmarkStart w:id="1" w:name="_Toc150171927"/>
      <w:r>
        <w:t xml:space="preserve">2. </w:t>
      </w:r>
      <w:r w:rsidR="00FE6ACF">
        <w:t>Tekniske krav til indleveringer til CESOP</w:t>
      </w:r>
      <w:bookmarkEnd w:id="1"/>
    </w:p>
    <w:p w14:paraId="7E491A0E" w14:textId="621D713D" w:rsidR="005A3DF1" w:rsidRDefault="00FE6ACF" w:rsidP="00BE71B5">
      <w:pPr>
        <w:rPr>
          <w:lang w:eastAsia="da-DK"/>
        </w:rPr>
      </w:pPr>
      <w:r>
        <w:rPr>
          <w:lang w:eastAsia="da-DK"/>
        </w:rPr>
        <w:t>Betalingsoplysninger til CESOP-DK skal afleveres i det XML-format</w:t>
      </w:r>
      <w:r w:rsidR="005E2863">
        <w:rPr>
          <w:lang w:eastAsia="da-DK"/>
        </w:rPr>
        <w:t>,</w:t>
      </w:r>
      <w:r>
        <w:rPr>
          <w:lang w:eastAsia="da-DK"/>
        </w:rPr>
        <w:t xml:space="preserve"> EU har bestemt. Udover disse er der en række EU valideringsregler og nationale danske valideringsregler</w:t>
      </w:r>
      <w:r w:rsidR="005E2863">
        <w:rPr>
          <w:lang w:eastAsia="da-DK"/>
        </w:rPr>
        <w:t>,</w:t>
      </w:r>
      <w:r>
        <w:rPr>
          <w:lang w:eastAsia="da-DK"/>
        </w:rPr>
        <w:t xml:space="preserve"> som data også skal overholde.</w:t>
      </w:r>
    </w:p>
    <w:p w14:paraId="78AC58CA" w14:textId="06D74741" w:rsidR="00FE6ACF" w:rsidRDefault="00FE6ACF" w:rsidP="00BE71B5">
      <w:pPr>
        <w:rPr>
          <w:lang w:eastAsia="da-DK"/>
        </w:rPr>
      </w:pPr>
    </w:p>
    <w:p w14:paraId="12A0554F" w14:textId="6441B5F5" w:rsidR="00DC4A74" w:rsidRDefault="00DC4A74" w:rsidP="00DC4A74">
      <w:pPr>
        <w:pStyle w:val="Overskrift2"/>
        <w:rPr>
          <w:lang w:eastAsia="da-DK"/>
        </w:rPr>
      </w:pPr>
      <w:bookmarkStart w:id="2" w:name="_Toc150171928"/>
      <w:r>
        <w:rPr>
          <w:lang w:eastAsia="da-DK"/>
        </w:rPr>
        <w:t xml:space="preserve">2.1 </w:t>
      </w:r>
      <w:r w:rsidR="00FE6ACF">
        <w:rPr>
          <w:lang w:eastAsia="da-DK"/>
        </w:rPr>
        <w:t>CESOP XSD</w:t>
      </w:r>
      <w:bookmarkEnd w:id="2"/>
    </w:p>
    <w:p w14:paraId="17766194" w14:textId="3C46944E" w:rsidR="0042324E" w:rsidRDefault="00487EBD" w:rsidP="0042324E">
      <w:pPr>
        <w:rPr>
          <w:lang w:eastAsia="da-DK"/>
        </w:rPr>
      </w:pPr>
      <w:r>
        <w:rPr>
          <w:lang w:eastAsia="da-DK"/>
        </w:rPr>
        <w:t>XSD-filerne</w:t>
      </w:r>
      <w:r w:rsidR="005E2863">
        <w:rPr>
          <w:lang w:eastAsia="da-DK"/>
        </w:rPr>
        <w:t>,</w:t>
      </w:r>
      <w:r w:rsidR="00FE6ACF">
        <w:rPr>
          <w:lang w:eastAsia="da-DK"/>
        </w:rPr>
        <w:t xml:space="preserve"> der definerer </w:t>
      </w:r>
      <w:r w:rsidR="007519F4">
        <w:rPr>
          <w:lang w:eastAsia="da-DK"/>
        </w:rPr>
        <w:t>XML</w:t>
      </w:r>
      <w:r>
        <w:rPr>
          <w:lang w:eastAsia="da-DK"/>
        </w:rPr>
        <w:t>-</w:t>
      </w:r>
      <w:r w:rsidR="007519F4">
        <w:rPr>
          <w:lang w:eastAsia="da-DK"/>
        </w:rPr>
        <w:t>skemaet for indlevering af</w:t>
      </w:r>
      <w:r w:rsidR="00FE6ACF">
        <w:rPr>
          <w:lang w:eastAsia="da-DK"/>
        </w:rPr>
        <w:t xml:space="preserve"> betalingsdata</w:t>
      </w:r>
      <w:r w:rsidR="00194C68">
        <w:rPr>
          <w:lang w:eastAsia="da-DK"/>
        </w:rPr>
        <w:t>,</w:t>
      </w:r>
      <w:r w:rsidR="00FE6ACF">
        <w:rPr>
          <w:lang w:eastAsia="da-DK"/>
        </w:rPr>
        <w:t xml:space="preserve"> kan findes på </w:t>
      </w:r>
      <w:hyperlink r:id="rId11" w:history="1">
        <w:r w:rsidR="00FE6ACF" w:rsidRPr="00F71D94">
          <w:rPr>
            <w:rStyle w:val="Hyperlink"/>
            <w:lang w:eastAsia="da-DK"/>
          </w:rPr>
          <w:t>EU</w:t>
        </w:r>
        <w:r w:rsidR="00194C68" w:rsidRPr="00F71D94">
          <w:rPr>
            <w:rStyle w:val="Hyperlink"/>
            <w:lang w:eastAsia="da-DK"/>
          </w:rPr>
          <w:t>s</w:t>
        </w:r>
        <w:r w:rsidR="00FE6ACF" w:rsidRPr="00F71D94">
          <w:rPr>
            <w:rStyle w:val="Hyperlink"/>
            <w:lang w:eastAsia="da-DK"/>
          </w:rPr>
          <w:t xml:space="preserve"> hjemmeside om CESOP</w:t>
        </w:r>
      </w:hyperlink>
      <w:r w:rsidR="00F71D94">
        <w:rPr>
          <w:lang w:eastAsia="da-DK"/>
        </w:rPr>
        <w:t xml:space="preserve"> (</w:t>
      </w:r>
      <w:r w:rsidR="007F3AED">
        <w:rPr>
          <w:lang w:eastAsia="da-DK"/>
        </w:rPr>
        <w:t>www.commission.europa.eu</w:t>
      </w:r>
      <w:r w:rsidR="00F71D94">
        <w:rPr>
          <w:lang w:eastAsia="da-DK"/>
        </w:rPr>
        <w:t>)</w:t>
      </w:r>
    </w:p>
    <w:p w14:paraId="609D5296" w14:textId="339B3A40" w:rsidR="00FE6ACF" w:rsidRDefault="00FE6ACF" w:rsidP="0042324E">
      <w:pPr>
        <w:rPr>
          <w:lang w:eastAsia="da-DK"/>
        </w:rPr>
      </w:pPr>
      <w:r>
        <w:rPr>
          <w:lang w:eastAsia="da-DK"/>
        </w:rPr>
        <w:t xml:space="preserve">På hjemmesiden </w:t>
      </w:r>
      <w:r w:rsidR="007F3AED">
        <w:rPr>
          <w:lang w:eastAsia="da-DK"/>
        </w:rPr>
        <w:t xml:space="preserve">finder du også </w:t>
      </w:r>
      <w:r>
        <w:rPr>
          <w:lang w:eastAsia="da-DK"/>
        </w:rPr>
        <w:t>en XSD User Guide med yderligere forretningsregler</w:t>
      </w:r>
      <w:r w:rsidR="007F3AED">
        <w:rPr>
          <w:lang w:eastAsia="da-DK"/>
        </w:rPr>
        <w:t>,</w:t>
      </w:r>
      <w:r>
        <w:rPr>
          <w:lang w:eastAsia="da-DK"/>
        </w:rPr>
        <w:t xml:space="preserve"> som </w:t>
      </w:r>
      <w:proofErr w:type="spellStart"/>
      <w:r>
        <w:rPr>
          <w:lang w:eastAsia="da-DK"/>
        </w:rPr>
        <w:t>XML</w:t>
      </w:r>
      <w:r w:rsidR="00596733">
        <w:rPr>
          <w:lang w:eastAsia="da-DK"/>
        </w:rPr>
        <w:t>’</w:t>
      </w:r>
      <w:r>
        <w:rPr>
          <w:lang w:eastAsia="da-DK"/>
        </w:rPr>
        <w:t>e</w:t>
      </w:r>
      <w:r w:rsidR="00487EBD">
        <w:rPr>
          <w:lang w:eastAsia="da-DK"/>
        </w:rPr>
        <w:t>t</w:t>
      </w:r>
      <w:proofErr w:type="spellEnd"/>
      <w:r>
        <w:rPr>
          <w:lang w:eastAsia="da-DK"/>
        </w:rPr>
        <w:t xml:space="preserve"> skal overholde.</w:t>
      </w:r>
    </w:p>
    <w:p w14:paraId="348354CC" w14:textId="066C8D66" w:rsidR="007519F4" w:rsidRPr="00FE6ACF" w:rsidRDefault="007519F4" w:rsidP="0042324E">
      <w:pPr>
        <w:rPr>
          <w:lang w:eastAsia="da-DK"/>
        </w:rPr>
      </w:pPr>
      <w:r>
        <w:rPr>
          <w:lang w:eastAsia="da-DK"/>
        </w:rPr>
        <w:t>Endelig ligger der på siden et valideringsmodul. Det anbefales at validere filer</w:t>
      </w:r>
      <w:r w:rsidR="00514D3C">
        <w:rPr>
          <w:lang w:eastAsia="da-DK"/>
        </w:rPr>
        <w:t>ne,</w:t>
      </w:r>
      <w:r>
        <w:rPr>
          <w:lang w:eastAsia="da-DK"/>
        </w:rPr>
        <w:t xml:space="preserve"> før </w:t>
      </w:r>
      <w:r w:rsidR="00514D3C">
        <w:rPr>
          <w:lang w:eastAsia="da-DK"/>
        </w:rPr>
        <w:t xml:space="preserve">de </w:t>
      </w:r>
      <w:r>
        <w:rPr>
          <w:lang w:eastAsia="da-DK"/>
        </w:rPr>
        <w:t>indberet</w:t>
      </w:r>
      <w:r w:rsidR="00514D3C">
        <w:rPr>
          <w:lang w:eastAsia="da-DK"/>
        </w:rPr>
        <w:t>tes</w:t>
      </w:r>
      <w:r>
        <w:rPr>
          <w:lang w:eastAsia="da-DK"/>
        </w:rPr>
        <w:t>. Valideringsmodulet validerer den enkelte fil</w:t>
      </w:r>
      <w:r w:rsidR="00D03167">
        <w:rPr>
          <w:lang w:eastAsia="da-DK"/>
        </w:rPr>
        <w:t xml:space="preserve"> i forhold til, at formatet </w:t>
      </w:r>
      <w:r w:rsidR="00FE46B8">
        <w:rPr>
          <w:lang w:eastAsia="da-DK"/>
        </w:rPr>
        <w:t xml:space="preserve">og en række forretningsregler </w:t>
      </w:r>
      <w:r w:rsidR="00D03167">
        <w:rPr>
          <w:lang w:eastAsia="da-DK"/>
        </w:rPr>
        <w:t>er overholdt</w:t>
      </w:r>
      <w:r w:rsidR="00FE46B8">
        <w:rPr>
          <w:lang w:eastAsia="da-DK"/>
        </w:rPr>
        <w:t>. D</w:t>
      </w:r>
      <w:r>
        <w:rPr>
          <w:lang w:eastAsia="da-DK"/>
        </w:rPr>
        <w:t xml:space="preserve">et kan derfor ikke garanteres, </w:t>
      </w:r>
      <w:r w:rsidR="00FE46B8">
        <w:rPr>
          <w:lang w:eastAsia="da-DK"/>
        </w:rPr>
        <w:t xml:space="preserve">at </w:t>
      </w:r>
      <w:r>
        <w:rPr>
          <w:lang w:eastAsia="da-DK"/>
        </w:rPr>
        <w:t>filen vil blive endeligt godkendt</w:t>
      </w:r>
      <w:r w:rsidR="00D03167">
        <w:rPr>
          <w:lang w:eastAsia="da-DK"/>
        </w:rPr>
        <w:t>, når den indberettes</w:t>
      </w:r>
      <w:r>
        <w:rPr>
          <w:lang w:eastAsia="da-DK"/>
        </w:rPr>
        <w:t>. Det skyldes, at der er yderligere regler, som kræver</w:t>
      </w:r>
      <w:r w:rsidR="00662397">
        <w:rPr>
          <w:lang w:eastAsia="da-DK"/>
        </w:rPr>
        <w:t>,</w:t>
      </w:r>
      <w:r>
        <w:rPr>
          <w:lang w:eastAsia="da-DK"/>
        </w:rPr>
        <w:t xml:space="preserve"> at data </w:t>
      </w:r>
      <w:r w:rsidR="00CD50DD">
        <w:rPr>
          <w:lang w:eastAsia="da-DK"/>
        </w:rPr>
        <w:t xml:space="preserve">sammenholdes med andre indberetninger. </w:t>
      </w:r>
      <w:r w:rsidR="00662397">
        <w:rPr>
          <w:lang w:eastAsia="da-DK"/>
        </w:rPr>
        <w:t xml:space="preserve">Denne proces foregår </w:t>
      </w:r>
      <w:r w:rsidR="00CD50DD">
        <w:rPr>
          <w:lang w:eastAsia="da-DK"/>
        </w:rPr>
        <w:t>centralt i EU</w:t>
      </w:r>
      <w:r w:rsidR="0025098E">
        <w:rPr>
          <w:lang w:eastAsia="da-DK"/>
        </w:rPr>
        <w:t>, og du kan læse mere i</w:t>
      </w:r>
      <w:r w:rsidR="00CD50DD">
        <w:rPr>
          <w:lang w:eastAsia="da-DK"/>
        </w:rPr>
        <w:t xml:space="preserve"> afsnittet </w:t>
      </w:r>
      <w:r w:rsidR="00CD50DD" w:rsidRPr="008D0985">
        <w:rPr>
          <w:b/>
          <w:bCs/>
          <w:lang w:eastAsia="da-DK"/>
        </w:rPr>
        <w:t xml:space="preserve">Indberetning- og </w:t>
      </w:r>
      <w:proofErr w:type="spellStart"/>
      <w:r w:rsidR="00CD50DD" w:rsidRPr="008D0985">
        <w:rPr>
          <w:b/>
          <w:bCs/>
          <w:lang w:eastAsia="da-DK"/>
        </w:rPr>
        <w:t>valideringsflow</w:t>
      </w:r>
      <w:proofErr w:type="spellEnd"/>
      <w:r w:rsidR="00CD50DD">
        <w:rPr>
          <w:lang w:eastAsia="da-DK"/>
        </w:rPr>
        <w:t>.</w:t>
      </w:r>
    </w:p>
    <w:p w14:paraId="19AF2D9D" w14:textId="7075B05B" w:rsidR="00CE2CC8" w:rsidRPr="00FE6ACF" w:rsidRDefault="00CE2CC8" w:rsidP="0042324E">
      <w:pPr>
        <w:rPr>
          <w:lang w:eastAsia="da-DK"/>
        </w:rPr>
      </w:pPr>
    </w:p>
    <w:p w14:paraId="6DFB8878" w14:textId="19B4A3E1" w:rsidR="00CE2CC8" w:rsidRDefault="00CE2CC8" w:rsidP="00CE2CC8">
      <w:pPr>
        <w:pStyle w:val="Overskrift2"/>
        <w:rPr>
          <w:lang w:eastAsia="da-DK"/>
        </w:rPr>
      </w:pPr>
      <w:bookmarkStart w:id="3" w:name="_Toc150171929"/>
      <w:r w:rsidRPr="00691328">
        <w:rPr>
          <w:lang w:eastAsia="da-DK"/>
        </w:rPr>
        <w:t xml:space="preserve">2.2 </w:t>
      </w:r>
      <w:r w:rsidR="007519F4">
        <w:rPr>
          <w:lang w:eastAsia="da-DK"/>
        </w:rPr>
        <w:t>Danske forretningsregler</w:t>
      </w:r>
      <w:bookmarkEnd w:id="3"/>
    </w:p>
    <w:p w14:paraId="4EE47017" w14:textId="7550C195" w:rsidR="007519F4" w:rsidRDefault="007519F4" w:rsidP="007519F4">
      <w:r>
        <w:t xml:space="preserve">Som supplement til </w:t>
      </w:r>
      <w:proofErr w:type="spellStart"/>
      <w:proofErr w:type="gramStart"/>
      <w:r>
        <w:t>EUs</w:t>
      </w:r>
      <w:proofErr w:type="spellEnd"/>
      <w:proofErr w:type="gramEnd"/>
      <w:r>
        <w:t xml:space="preserve"> regler findes der nationalt implementere</w:t>
      </w:r>
      <w:r w:rsidR="0025098E">
        <w:t>de</w:t>
      </w:r>
      <w:r>
        <w:t xml:space="preserve"> forretningsregler</w:t>
      </w:r>
      <w:r w:rsidR="0025098E">
        <w:t>. Formålet med dem er</w:t>
      </w:r>
      <w:r>
        <w:t xml:space="preserve"> at understøtte en smidig og sikker indberetningsproces. </w:t>
      </w:r>
    </w:p>
    <w:p w14:paraId="007A2C40" w14:textId="6A0035DD" w:rsidR="007519F4" w:rsidRDefault="007519F4" w:rsidP="007519F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257"/>
        <w:gridCol w:w="5057"/>
        <w:gridCol w:w="2262"/>
      </w:tblGrid>
      <w:tr w:rsidR="008F2319" w:rsidRPr="00483044" w14:paraId="7ED6E542" w14:textId="77777777" w:rsidTr="008F23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660FA" w14:textId="77777777" w:rsidR="007519F4" w:rsidRPr="00483044" w:rsidRDefault="007519F4" w:rsidP="00FD65BE">
            <w:pPr>
              <w:rPr>
                <w:b/>
                <w:bCs/>
                <w:sz w:val="14"/>
                <w:szCs w:val="14"/>
              </w:rPr>
            </w:pPr>
            <w:bookmarkStart w:id="4" w:name="_Hlk194309996"/>
            <w:r>
              <w:rPr>
                <w:b/>
                <w:bCs/>
                <w:sz w:val="14"/>
                <w:szCs w:val="14"/>
              </w:rPr>
              <w:t>Forretningsregel ID</w:t>
            </w:r>
          </w:p>
        </w:tc>
        <w:tc>
          <w:tcPr>
            <w:tcW w:w="1227" w:type="dxa"/>
            <w:vAlign w:val="center"/>
            <w:hideMark/>
          </w:tcPr>
          <w:p w14:paraId="3E633BD3" w14:textId="77777777" w:rsidR="007519F4" w:rsidRPr="00483044" w:rsidRDefault="007519F4" w:rsidP="00FD65BE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Forretningsregel beskrivelse</w:t>
            </w:r>
          </w:p>
        </w:tc>
        <w:tc>
          <w:tcPr>
            <w:tcW w:w="5027" w:type="dxa"/>
            <w:vAlign w:val="center"/>
            <w:hideMark/>
          </w:tcPr>
          <w:p w14:paraId="7FFAE1CB" w14:textId="77777777" w:rsidR="007519F4" w:rsidRPr="00483044" w:rsidRDefault="007519F4" w:rsidP="00FD65BE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Beskrivelse</w:t>
            </w:r>
          </w:p>
        </w:tc>
        <w:tc>
          <w:tcPr>
            <w:tcW w:w="2217" w:type="dxa"/>
            <w:vAlign w:val="center"/>
            <w:hideMark/>
          </w:tcPr>
          <w:p w14:paraId="56B52846" w14:textId="77777777" w:rsidR="007519F4" w:rsidRPr="00483044" w:rsidRDefault="007519F4" w:rsidP="00FD65BE">
            <w:pPr>
              <w:rPr>
                <w:b/>
                <w:bCs/>
                <w:sz w:val="14"/>
                <w:szCs w:val="14"/>
              </w:rPr>
            </w:pPr>
            <w:r w:rsidRPr="00483044">
              <w:rPr>
                <w:b/>
                <w:bCs/>
                <w:sz w:val="14"/>
                <w:szCs w:val="14"/>
              </w:rPr>
              <w:t>Fejlbeskrivelse</w:t>
            </w:r>
          </w:p>
        </w:tc>
      </w:tr>
      <w:tr w:rsidR="008F2319" w:rsidRPr="00483044" w14:paraId="02B89CA0" w14:textId="77777777" w:rsidTr="008F23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62165" w14:textId="77777777" w:rsidR="007519F4" w:rsidRPr="00483044" w:rsidRDefault="007519F4" w:rsidP="00FD65BE">
            <w:pPr>
              <w:rPr>
                <w:sz w:val="14"/>
                <w:szCs w:val="14"/>
              </w:rPr>
            </w:pPr>
            <w:r w:rsidRPr="00483044">
              <w:rPr>
                <w:sz w:val="14"/>
                <w:szCs w:val="14"/>
              </w:rPr>
              <w:t>101</w:t>
            </w:r>
          </w:p>
        </w:tc>
        <w:tc>
          <w:tcPr>
            <w:tcW w:w="1227" w:type="dxa"/>
            <w:vAlign w:val="center"/>
            <w:hideMark/>
          </w:tcPr>
          <w:p w14:paraId="72DBE273" w14:textId="77777777" w:rsidR="007519F4" w:rsidRPr="00483044" w:rsidRDefault="007519F4" w:rsidP="00FD65BE">
            <w:pPr>
              <w:rPr>
                <w:sz w:val="14"/>
                <w:szCs w:val="14"/>
              </w:rPr>
            </w:pPr>
            <w:r w:rsidRPr="00483044">
              <w:rPr>
                <w:sz w:val="14"/>
                <w:szCs w:val="14"/>
              </w:rPr>
              <w:t>Identifikation af PSP</w:t>
            </w:r>
          </w:p>
        </w:tc>
        <w:tc>
          <w:tcPr>
            <w:tcW w:w="5027" w:type="dxa"/>
            <w:vAlign w:val="center"/>
            <w:hideMark/>
          </w:tcPr>
          <w:p w14:paraId="7FB056A6" w14:textId="0E645195" w:rsidR="007519F4" w:rsidRDefault="007519F4" w:rsidP="00FD65BE">
            <w:pPr>
              <w:rPr>
                <w:sz w:val="14"/>
                <w:szCs w:val="14"/>
              </w:rPr>
            </w:pPr>
            <w:r w:rsidRPr="00483044">
              <w:rPr>
                <w:sz w:val="14"/>
                <w:szCs w:val="14"/>
              </w:rPr>
              <w:t>S</w:t>
            </w:r>
            <w:r w:rsidR="00B67BED">
              <w:rPr>
                <w:sz w:val="14"/>
                <w:szCs w:val="14"/>
              </w:rPr>
              <w:t>e-</w:t>
            </w:r>
            <w:r w:rsidRPr="00483044">
              <w:rPr>
                <w:sz w:val="14"/>
                <w:szCs w:val="14"/>
              </w:rPr>
              <w:t xml:space="preserve">nr. på den indberetningspligtige </w:t>
            </w:r>
            <w:r w:rsidR="00D87DFA">
              <w:rPr>
                <w:sz w:val="14"/>
                <w:szCs w:val="14"/>
              </w:rPr>
              <w:t>skal være</w:t>
            </w:r>
            <w:r w:rsidRPr="00483044">
              <w:rPr>
                <w:sz w:val="14"/>
                <w:szCs w:val="14"/>
              </w:rPr>
              <w:t xml:space="preserve"> det samme</w:t>
            </w:r>
            <w:r w:rsidR="008D5A13">
              <w:rPr>
                <w:sz w:val="14"/>
                <w:szCs w:val="14"/>
              </w:rPr>
              <w:t xml:space="preserve"> som det, der </w:t>
            </w:r>
            <w:r w:rsidRPr="00483044">
              <w:rPr>
                <w:sz w:val="14"/>
                <w:szCs w:val="14"/>
              </w:rPr>
              <w:t xml:space="preserve">i </w:t>
            </w:r>
            <w:proofErr w:type="spellStart"/>
            <w:r w:rsidRPr="00483044">
              <w:rPr>
                <w:sz w:val="14"/>
                <w:szCs w:val="14"/>
              </w:rPr>
              <w:t>XML</w:t>
            </w:r>
            <w:r w:rsidR="008D5A13">
              <w:rPr>
                <w:sz w:val="14"/>
                <w:szCs w:val="14"/>
              </w:rPr>
              <w:t>’</w:t>
            </w:r>
            <w:r w:rsidRPr="00483044">
              <w:rPr>
                <w:sz w:val="14"/>
                <w:szCs w:val="14"/>
              </w:rPr>
              <w:t>en</w:t>
            </w:r>
            <w:proofErr w:type="spellEnd"/>
            <w:r w:rsidRPr="00483044">
              <w:rPr>
                <w:sz w:val="14"/>
                <w:szCs w:val="14"/>
              </w:rPr>
              <w:t xml:space="preserve"> står som </w:t>
            </w:r>
            <w:proofErr w:type="spellStart"/>
            <w:r w:rsidRPr="00483044">
              <w:rPr>
                <w:sz w:val="14"/>
                <w:szCs w:val="14"/>
              </w:rPr>
              <w:t>ReportingPsP</w:t>
            </w:r>
            <w:proofErr w:type="spellEnd"/>
            <w:r w:rsidRPr="00483044">
              <w:rPr>
                <w:sz w:val="14"/>
                <w:szCs w:val="14"/>
              </w:rPr>
              <w:t xml:space="preserve"> =&gt; </w:t>
            </w:r>
            <w:proofErr w:type="spellStart"/>
            <w:r w:rsidRPr="00483044">
              <w:rPr>
                <w:sz w:val="14"/>
                <w:szCs w:val="14"/>
              </w:rPr>
              <w:t>PSPId</w:t>
            </w:r>
            <w:proofErr w:type="spellEnd"/>
            <w:r w:rsidRPr="00483044">
              <w:rPr>
                <w:sz w:val="14"/>
                <w:szCs w:val="14"/>
              </w:rPr>
              <w:t>.</w:t>
            </w:r>
          </w:p>
          <w:p w14:paraId="69B13D7A" w14:textId="0EEAC70E" w:rsidR="00D87DFA" w:rsidRDefault="00D87DFA" w:rsidP="00FD65B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PSP </w:t>
            </w:r>
            <w:r w:rsidR="008F2319" w:rsidRPr="00C35EC8">
              <w:rPr>
                <w:sz w:val="14"/>
                <w:szCs w:val="14"/>
              </w:rPr>
              <w:t>skal</w:t>
            </w:r>
            <w:r w:rsidRPr="00C35EC8">
              <w:rPr>
                <w:sz w:val="14"/>
                <w:szCs w:val="14"/>
              </w:rPr>
              <w:t xml:space="preserve"> identificere</w:t>
            </w:r>
            <w:r>
              <w:rPr>
                <w:sz w:val="14"/>
                <w:szCs w:val="14"/>
              </w:rPr>
              <w:t xml:space="preserve"> sig i </w:t>
            </w:r>
            <w:proofErr w:type="spellStart"/>
            <w:r>
              <w:rPr>
                <w:sz w:val="14"/>
                <w:szCs w:val="14"/>
              </w:rPr>
              <w:t>XML</w:t>
            </w:r>
            <w:r w:rsidR="008D5A13">
              <w:rPr>
                <w:sz w:val="14"/>
                <w:szCs w:val="14"/>
              </w:rPr>
              <w:t>’</w:t>
            </w:r>
            <w:r>
              <w:rPr>
                <w:sz w:val="14"/>
                <w:szCs w:val="14"/>
              </w:rPr>
              <w:t>en</w:t>
            </w:r>
            <w:proofErr w:type="spellEnd"/>
            <w:r>
              <w:rPr>
                <w:sz w:val="14"/>
                <w:szCs w:val="14"/>
              </w:rPr>
              <w:t xml:space="preserve"> med det se</w:t>
            </w:r>
            <w:r w:rsidR="008D5A13">
              <w:rPr>
                <w:sz w:val="14"/>
                <w:szCs w:val="14"/>
              </w:rPr>
              <w:t>-</w:t>
            </w:r>
            <w:r w:rsidRPr="00C35EC8">
              <w:rPr>
                <w:sz w:val="14"/>
                <w:szCs w:val="14"/>
              </w:rPr>
              <w:t>n</w:t>
            </w:r>
            <w:r w:rsidR="008F2319" w:rsidRPr="00C35EC8">
              <w:rPr>
                <w:sz w:val="14"/>
                <w:szCs w:val="14"/>
              </w:rPr>
              <w:t>ummer</w:t>
            </w:r>
            <w:r w:rsidR="008D5A13" w:rsidRPr="00C35EC8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som indberetningspligten er registreret på</w:t>
            </w:r>
            <w:r w:rsidRPr="00C35EC8">
              <w:rPr>
                <w:sz w:val="14"/>
                <w:szCs w:val="14"/>
              </w:rPr>
              <w:t xml:space="preserve">, </w:t>
            </w:r>
            <w:r w:rsidR="008F2319" w:rsidRPr="00C35EC8">
              <w:rPr>
                <w:sz w:val="14"/>
                <w:szCs w:val="14"/>
              </w:rPr>
              <w:t xml:space="preserve">samt skrive at det er se-nummer der anvendes, </w:t>
            </w:r>
            <w:r w:rsidRPr="00C35EC8">
              <w:rPr>
                <w:sz w:val="14"/>
                <w:szCs w:val="14"/>
              </w:rPr>
              <w:t>s</w:t>
            </w:r>
            <w:r w:rsidR="00FE46B8" w:rsidRPr="00C35EC8">
              <w:rPr>
                <w:sz w:val="14"/>
                <w:szCs w:val="14"/>
              </w:rPr>
              <w:t xml:space="preserve">om vist herunder (her er indsat 12345678 som </w:t>
            </w:r>
            <w:r w:rsidR="00E52605">
              <w:rPr>
                <w:sz w:val="14"/>
                <w:szCs w:val="14"/>
              </w:rPr>
              <w:t xml:space="preserve">eksempel på </w:t>
            </w:r>
            <w:r w:rsidR="00FE46B8" w:rsidRPr="00C35EC8">
              <w:rPr>
                <w:sz w:val="14"/>
                <w:szCs w:val="14"/>
              </w:rPr>
              <w:t>se-n</w:t>
            </w:r>
            <w:r w:rsidR="008F2319" w:rsidRPr="00C35EC8">
              <w:rPr>
                <w:sz w:val="14"/>
                <w:szCs w:val="14"/>
              </w:rPr>
              <w:t>umme</w:t>
            </w:r>
            <w:r w:rsidR="00FE46B8" w:rsidRPr="00C35EC8">
              <w:rPr>
                <w:sz w:val="14"/>
                <w:szCs w:val="14"/>
              </w:rPr>
              <w:t>r)</w:t>
            </w:r>
            <w:r w:rsidRPr="00C35EC8">
              <w:rPr>
                <w:sz w:val="14"/>
                <w:szCs w:val="14"/>
              </w:rPr>
              <w:t>:</w:t>
            </w:r>
          </w:p>
          <w:p w14:paraId="788B4FE8" w14:textId="71A77AE8" w:rsidR="00D87DFA" w:rsidRPr="008F2319" w:rsidRDefault="00D87DFA" w:rsidP="00FD65BE">
            <w:pPr>
              <w:rPr>
                <w:sz w:val="14"/>
                <w:szCs w:val="14"/>
              </w:rPr>
            </w:pPr>
            <w:r w:rsidRPr="008F2319">
              <w:rPr>
                <w:sz w:val="14"/>
                <w:szCs w:val="14"/>
              </w:rPr>
              <w:t>&lt;</w:t>
            </w:r>
            <w:proofErr w:type="spellStart"/>
            <w:r w:rsidRPr="008F2319">
              <w:rPr>
                <w:sz w:val="14"/>
                <w:szCs w:val="14"/>
              </w:rPr>
              <w:t>cesop:PSPId</w:t>
            </w:r>
            <w:proofErr w:type="spellEnd"/>
            <w:r w:rsidRPr="008F2319">
              <w:rPr>
                <w:sz w:val="14"/>
                <w:szCs w:val="14"/>
              </w:rPr>
              <w:t xml:space="preserve"> </w:t>
            </w:r>
            <w:proofErr w:type="spellStart"/>
            <w:r w:rsidRPr="008F2319">
              <w:rPr>
                <w:sz w:val="14"/>
                <w:szCs w:val="14"/>
              </w:rPr>
              <w:t>PSPIdType</w:t>
            </w:r>
            <w:proofErr w:type="spellEnd"/>
            <w:r w:rsidRPr="008F2319">
              <w:rPr>
                <w:sz w:val="14"/>
                <w:szCs w:val="14"/>
              </w:rPr>
              <w:t>="</w:t>
            </w:r>
            <w:proofErr w:type="spellStart"/>
            <w:r w:rsidRPr="0025302B">
              <w:rPr>
                <w:sz w:val="14"/>
                <w:szCs w:val="14"/>
              </w:rPr>
              <w:t>Other"</w:t>
            </w:r>
            <w:r w:rsidR="008F2319" w:rsidRPr="0025302B">
              <w:rPr>
                <w:sz w:val="14"/>
                <w:szCs w:val="14"/>
              </w:rPr>
              <w:t>PSPIdOther</w:t>
            </w:r>
            <w:proofErr w:type="spellEnd"/>
            <w:r w:rsidR="008F2319" w:rsidRPr="0025302B">
              <w:rPr>
                <w:sz w:val="14"/>
                <w:szCs w:val="14"/>
              </w:rPr>
              <w:t>=”se-nummer”</w:t>
            </w:r>
            <w:r w:rsidRPr="0025302B">
              <w:rPr>
                <w:sz w:val="14"/>
                <w:szCs w:val="14"/>
              </w:rPr>
              <w:t>&gt;12345678&lt;/</w:t>
            </w:r>
            <w:proofErr w:type="spellStart"/>
            <w:r w:rsidRPr="0025302B">
              <w:rPr>
                <w:sz w:val="14"/>
                <w:szCs w:val="14"/>
              </w:rPr>
              <w:t>cesop:PSPId</w:t>
            </w:r>
            <w:proofErr w:type="spellEnd"/>
            <w:r w:rsidRPr="008F2319">
              <w:rPr>
                <w:sz w:val="14"/>
                <w:szCs w:val="14"/>
              </w:rPr>
              <w:t>&gt;</w:t>
            </w:r>
          </w:p>
        </w:tc>
        <w:tc>
          <w:tcPr>
            <w:tcW w:w="2217" w:type="dxa"/>
            <w:vAlign w:val="center"/>
            <w:hideMark/>
          </w:tcPr>
          <w:p w14:paraId="13857A7C" w14:textId="78CB17F8" w:rsidR="007519F4" w:rsidRPr="006513AF" w:rsidRDefault="007519F4" w:rsidP="00FD65BE">
            <w:pPr>
              <w:rPr>
                <w:sz w:val="14"/>
                <w:szCs w:val="14"/>
              </w:rPr>
            </w:pPr>
            <w:proofErr w:type="spellStart"/>
            <w:r w:rsidRPr="006513AF">
              <w:rPr>
                <w:sz w:val="14"/>
                <w:szCs w:val="14"/>
              </w:rPr>
              <w:t>ReportingPSP</w:t>
            </w:r>
            <w:proofErr w:type="spellEnd"/>
            <w:r w:rsidRPr="006513AF">
              <w:rPr>
                <w:sz w:val="14"/>
                <w:szCs w:val="14"/>
              </w:rPr>
              <w:t xml:space="preserve"> i den indleverede XML er ikke den </w:t>
            </w:r>
            <w:r w:rsidRPr="00602787">
              <w:rPr>
                <w:sz w:val="14"/>
                <w:szCs w:val="14"/>
              </w:rPr>
              <w:t>indberetningspligtige</w:t>
            </w:r>
            <w:r w:rsidR="008F2319" w:rsidRPr="00602787">
              <w:rPr>
                <w:sz w:val="14"/>
                <w:szCs w:val="14"/>
              </w:rPr>
              <w:t xml:space="preserve"> eller mangler at skive at det er se-nummer der anvendes</w:t>
            </w:r>
            <w:r w:rsidRPr="00602787">
              <w:rPr>
                <w:sz w:val="14"/>
                <w:szCs w:val="14"/>
              </w:rPr>
              <w:t xml:space="preserve">. Identifikationen af </w:t>
            </w:r>
            <w:proofErr w:type="spellStart"/>
            <w:r w:rsidRPr="00602787">
              <w:rPr>
                <w:sz w:val="14"/>
                <w:szCs w:val="14"/>
              </w:rPr>
              <w:t>ReportingPSP</w:t>
            </w:r>
            <w:proofErr w:type="spellEnd"/>
            <w:r w:rsidRPr="00602787">
              <w:rPr>
                <w:sz w:val="14"/>
                <w:szCs w:val="14"/>
              </w:rPr>
              <w:t xml:space="preserve"> skal være </w:t>
            </w:r>
            <w:r w:rsidR="00AA0244" w:rsidRPr="00602787">
              <w:rPr>
                <w:sz w:val="14"/>
                <w:szCs w:val="14"/>
              </w:rPr>
              <w:t>se</w:t>
            </w:r>
            <w:r w:rsidRPr="00602787">
              <w:rPr>
                <w:sz w:val="14"/>
                <w:szCs w:val="14"/>
              </w:rPr>
              <w:t>-n</w:t>
            </w:r>
            <w:r w:rsidR="008F2319" w:rsidRPr="00602787">
              <w:rPr>
                <w:sz w:val="14"/>
                <w:szCs w:val="14"/>
              </w:rPr>
              <w:t>ummeret</w:t>
            </w:r>
            <w:r w:rsidRPr="00602787">
              <w:rPr>
                <w:sz w:val="14"/>
                <w:szCs w:val="14"/>
              </w:rPr>
              <w:t xml:space="preserve"> på den indberetningspligtige.</w:t>
            </w:r>
            <w:r w:rsidR="008F2319">
              <w:rPr>
                <w:sz w:val="14"/>
                <w:szCs w:val="14"/>
              </w:rPr>
              <w:t xml:space="preserve"> </w:t>
            </w:r>
          </w:p>
        </w:tc>
      </w:tr>
      <w:tr w:rsidR="008F2319" w:rsidRPr="00483044" w14:paraId="2A71B8E0" w14:textId="77777777" w:rsidTr="008F23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D54BA" w14:textId="77777777" w:rsidR="007519F4" w:rsidRPr="00483044" w:rsidRDefault="007519F4" w:rsidP="00FD65BE">
            <w:pPr>
              <w:rPr>
                <w:sz w:val="14"/>
                <w:szCs w:val="14"/>
              </w:rPr>
            </w:pPr>
            <w:r w:rsidRPr="00483044">
              <w:rPr>
                <w:sz w:val="14"/>
                <w:szCs w:val="14"/>
              </w:rPr>
              <w:t>102</w:t>
            </w:r>
          </w:p>
        </w:tc>
        <w:tc>
          <w:tcPr>
            <w:tcW w:w="1227" w:type="dxa"/>
            <w:vAlign w:val="center"/>
            <w:hideMark/>
          </w:tcPr>
          <w:p w14:paraId="3A886307" w14:textId="77777777" w:rsidR="007519F4" w:rsidRPr="00483044" w:rsidRDefault="007519F4" w:rsidP="00FD65BE">
            <w:pPr>
              <w:rPr>
                <w:sz w:val="14"/>
                <w:szCs w:val="14"/>
              </w:rPr>
            </w:pPr>
            <w:proofErr w:type="spellStart"/>
            <w:r w:rsidRPr="00483044">
              <w:rPr>
                <w:sz w:val="14"/>
                <w:szCs w:val="14"/>
              </w:rPr>
              <w:t>ReportingPeriod</w:t>
            </w:r>
            <w:proofErr w:type="spellEnd"/>
          </w:p>
        </w:tc>
        <w:tc>
          <w:tcPr>
            <w:tcW w:w="5027" w:type="dxa"/>
            <w:vAlign w:val="center"/>
            <w:hideMark/>
          </w:tcPr>
          <w:p w14:paraId="1D4BCCE6" w14:textId="10646CD3" w:rsidR="007519F4" w:rsidRPr="00483044" w:rsidRDefault="007519F4" w:rsidP="00FD65BE">
            <w:pPr>
              <w:rPr>
                <w:sz w:val="14"/>
                <w:szCs w:val="14"/>
              </w:rPr>
            </w:pPr>
            <w:r w:rsidRPr="00483044">
              <w:rPr>
                <w:sz w:val="14"/>
                <w:szCs w:val="14"/>
              </w:rPr>
              <w:t xml:space="preserve">Perioden som </w:t>
            </w:r>
            <w:proofErr w:type="gramStart"/>
            <w:r w:rsidRPr="00483044">
              <w:rPr>
                <w:sz w:val="14"/>
                <w:szCs w:val="14"/>
              </w:rPr>
              <w:t>indberetter</w:t>
            </w:r>
            <w:proofErr w:type="gramEnd"/>
            <w:r w:rsidRPr="00483044">
              <w:rPr>
                <w:sz w:val="14"/>
                <w:szCs w:val="14"/>
              </w:rPr>
              <w:t xml:space="preserve"> har angivet</w:t>
            </w:r>
            <w:r w:rsidR="00FF7BBA">
              <w:rPr>
                <w:sz w:val="14"/>
                <w:szCs w:val="14"/>
              </w:rPr>
              <w:t>,</w:t>
            </w:r>
            <w:r w:rsidRPr="00483044">
              <w:rPr>
                <w:sz w:val="14"/>
                <w:szCs w:val="14"/>
              </w:rPr>
              <w:t xml:space="preserve"> at indberetningen vedrører</w:t>
            </w:r>
            <w:r w:rsidR="00FF7BBA">
              <w:rPr>
                <w:sz w:val="14"/>
                <w:szCs w:val="14"/>
              </w:rPr>
              <w:t>,</w:t>
            </w:r>
            <w:r w:rsidRPr="00483044">
              <w:rPr>
                <w:sz w:val="14"/>
                <w:szCs w:val="14"/>
              </w:rPr>
              <w:t xml:space="preserve"> skal være den samme</w:t>
            </w:r>
            <w:r w:rsidR="00FF7BBA">
              <w:rPr>
                <w:sz w:val="14"/>
                <w:szCs w:val="14"/>
              </w:rPr>
              <w:t>,</w:t>
            </w:r>
            <w:r w:rsidRPr="00483044">
              <w:rPr>
                <w:sz w:val="14"/>
                <w:szCs w:val="14"/>
              </w:rPr>
              <w:t xml:space="preserve"> som er defineret i XML under </w:t>
            </w:r>
            <w:proofErr w:type="spellStart"/>
            <w:r w:rsidRPr="00483044">
              <w:rPr>
                <w:sz w:val="14"/>
                <w:szCs w:val="14"/>
              </w:rPr>
              <w:t>ReportingPeriod</w:t>
            </w:r>
            <w:proofErr w:type="spellEnd"/>
            <w:r w:rsidR="00FF7BBA">
              <w:rPr>
                <w:sz w:val="14"/>
                <w:szCs w:val="14"/>
              </w:rPr>
              <w:t>.</w:t>
            </w:r>
          </w:p>
        </w:tc>
        <w:tc>
          <w:tcPr>
            <w:tcW w:w="2217" w:type="dxa"/>
            <w:vAlign w:val="center"/>
            <w:hideMark/>
          </w:tcPr>
          <w:p w14:paraId="000066BB" w14:textId="64604DE9" w:rsidR="007519F4" w:rsidRPr="006513AF" w:rsidRDefault="007519F4" w:rsidP="00FD65BE">
            <w:pPr>
              <w:rPr>
                <w:sz w:val="14"/>
                <w:szCs w:val="14"/>
              </w:rPr>
            </w:pPr>
            <w:r w:rsidRPr="006513AF">
              <w:rPr>
                <w:sz w:val="14"/>
                <w:szCs w:val="14"/>
              </w:rPr>
              <w:t>Perioden</w:t>
            </w:r>
            <w:r w:rsidR="00317B28">
              <w:rPr>
                <w:sz w:val="14"/>
                <w:szCs w:val="14"/>
              </w:rPr>
              <w:t>,</w:t>
            </w:r>
            <w:r w:rsidRPr="006513AF">
              <w:rPr>
                <w:sz w:val="14"/>
                <w:szCs w:val="14"/>
              </w:rPr>
              <w:t xml:space="preserve"> der er forsøgt indleveret betalingsoplysninger for, er ikke den samme</w:t>
            </w:r>
            <w:r w:rsidR="00317B28">
              <w:rPr>
                <w:sz w:val="14"/>
                <w:szCs w:val="14"/>
              </w:rPr>
              <w:t>,</w:t>
            </w:r>
            <w:r w:rsidRPr="006513AF">
              <w:rPr>
                <w:sz w:val="14"/>
                <w:szCs w:val="14"/>
              </w:rPr>
              <w:t xml:space="preserve"> som </w:t>
            </w:r>
            <w:r w:rsidR="00FF7BBA">
              <w:rPr>
                <w:sz w:val="14"/>
                <w:szCs w:val="14"/>
              </w:rPr>
              <w:t>den, d</w:t>
            </w:r>
            <w:r w:rsidRPr="006513AF">
              <w:rPr>
                <w:sz w:val="14"/>
                <w:szCs w:val="14"/>
              </w:rPr>
              <w:t xml:space="preserve">er </w:t>
            </w:r>
            <w:r w:rsidR="00FF7BBA">
              <w:rPr>
                <w:sz w:val="14"/>
                <w:szCs w:val="14"/>
              </w:rPr>
              <w:t xml:space="preserve">er </w:t>
            </w:r>
            <w:r w:rsidRPr="006513AF">
              <w:rPr>
                <w:sz w:val="14"/>
                <w:szCs w:val="14"/>
              </w:rPr>
              <w:t>defineret i den indleverede XML.</w:t>
            </w:r>
          </w:p>
        </w:tc>
      </w:tr>
      <w:tr w:rsidR="008F2319" w:rsidRPr="00483044" w14:paraId="6AE15E69" w14:textId="77777777" w:rsidTr="008F23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E31E8" w14:textId="77777777" w:rsidR="007519F4" w:rsidRPr="00483044" w:rsidRDefault="007519F4" w:rsidP="00FD65BE">
            <w:pPr>
              <w:rPr>
                <w:sz w:val="14"/>
                <w:szCs w:val="14"/>
              </w:rPr>
            </w:pPr>
            <w:r w:rsidRPr="00483044">
              <w:rPr>
                <w:sz w:val="14"/>
                <w:szCs w:val="14"/>
              </w:rPr>
              <w:t>103</w:t>
            </w:r>
          </w:p>
        </w:tc>
        <w:tc>
          <w:tcPr>
            <w:tcW w:w="1227" w:type="dxa"/>
            <w:vAlign w:val="center"/>
            <w:hideMark/>
          </w:tcPr>
          <w:p w14:paraId="6C5D7250" w14:textId="1780A3EF" w:rsidR="007519F4" w:rsidRPr="00483044" w:rsidRDefault="007519F4" w:rsidP="00FD65BE">
            <w:pPr>
              <w:rPr>
                <w:sz w:val="14"/>
                <w:szCs w:val="14"/>
              </w:rPr>
            </w:pPr>
            <w:proofErr w:type="spellStart"/>
            <w:r w:rsidRPr="00602787">
              <w:rPr>
                <w:sz w:val="14"/>
                <w:szCs w:val="14"/>
              </w:rPr>
              <w:t>TransmittingCount</w:t>
            </w:r>
            <w:r w:rsidR="00731E1D" w:rsidRPr="00602787">
              <w:rPr>
                <w:sz w:val="14"/>
                <w:szCs w:val="14"/>
              </w:rPr>
              <w:t>r</w:t>
            </w:r>
            <w:r w:rsidRPr="00602787">
              <w:rPr>
                <w:sz w:val="14"/>
                <w:szCs w:val="14"/>
              </w:rPr>
              <w:t>y</w:t>
            </w:r>
            <w:proofErr w:type="spellEnd"/>
          </w:p>
        </w:tc>
        <w:tc>
          <w:tcPr>
            <w:tcW w:w="5027" w:type="dxa"/>
            <w:vAlign w:val="center"/>
            <w:hideMark/>
          </w:tcPr>
          <w:p w14:paraId="57F74984" w14:textId="77777777" w:rsidR="007519F4" w:rsidRPr="00483044" w:rsidRDefault="007519F4" w:rsidP="00FD65BE">
            <w:pPr>
              <w:rPr>
                <w:sz w:val="14"/>
                <w:szCs w:val="14"/>
              </w:rPr>
            </w:pPr>
            <w:proofErr w:type="spellStart"/>
            <w:r w:rsidRPr="00483044">
              <w:rPr>
                <w:sz w:val="14"/>
                <w:szCs w:val="14"/>
              </w:rPr>
              <w:t>TransmittingCountry</w:t>
            </w:r>
            <w:proofErr w:type="spellEnd"/>
            <w:r w:rsidRPr="00483044">
              <w:rPr>
                <w:sz w:val="14"/>
                <w:szCs w:val="14"/>
              </w:rPr>
              <w:t xml:space="preserve"> i </w:t>
            </w:r>
            <w:proofErr w:type="spellStart"/>
            <w:r w:rsidRPr="00483044">
              <w:rPr>
                <w:sz w:val="14"/>
                <w:szCs w:val="14"/>
              </w:rPr>
              <w:t>MessageSpec</w:t>
            </w:r>
            <w:proofErr w:type="spellEnd"/>
            <w:r w:rsidRPr="00483044">
              <w:rPr>
                <w:sz w:val="14"/>
                <w:szCs w:val="14"/>
              </w:rPr>
              <w:t xml:space="preserve"> skal være "DK"</w:t>
            </w:r>
          </w:p>
        </w:tc>
        <w:tc>
          <w:tcPr>
            <w:tcW w:w="2217" w:type="dxa"/>
            <w:vAlign w:val="center"/>
            <w:hideMark/>
          </w:tcPr>
          <w:p w14:paraId="44CC40DE" w14:textId="77777777" w:rsidR="007519F4" w:rsidRPr="006513AF" w:rsidRDefault="007519F4" w:rsidP="00FD65BE">
            <w:pPr>
              <w:rPr>
                <w:sz w:val="14"/>
                <w:szCs w:val="14"/>
              </w:rPr>
            </w:pPr>
            <w:r w:rsidRPr="006513AF">
              <w:rPr>
                <w:sz w:val="14"/>
                <w:szCs w:val="14"/>
              </w:rPr>
              <w:t xml:space="preserve">"I sektion </w:t>
            </w:r>
            <w:proofErr w:type="spellStart"/>
            <w:r w:rsidRPr="006513AF">
              <w:rPr>
                <w:sz w:val="14"/>
                <w:szCs w:val="14"/>
              </w:rPr>
              <w:t>MessageSpec</w:t>
            </w:r>
            <w:proofErr w:type="spellEnd"/>
            <w:r w:rsidRPr="006513AF">
              <w:rPr>
                <w:sz w:val="14"/>
                <w:szCs w:val="14"/>
              </w:rPr>
              <w:t xml:space="preserve"> skal </w:t>
            </w:r>
            <w:proofErr w:type="spellStart"/>
            <w:r w:rsidRPr="006513AF">
              <w:rPr>
                <w:sz w:val="14"/>
                <w:szCs w:val="14"/>
              </w:rPr>
              <w:t>TransmittingCountry</w:t>
            </w:r>
            <w:proofErr w:type="spellEnd"/>
            <w:r w:rsidRPr="006513AF">
              <w:rPr>
                <w:sz w:val="14"/>
                <w:szCs w:val="14"/>
              </w:rPr>
              <w:t xml:space="preserve"> være "DK", uden citationstegn.</w:t>
            </w:r>
          </w:p>
        </w:tc>
      </w:tr>
      <w:tr w:rsidR="008F2319" w:rsidRPr="00483044" w14:paraId="02404807" w14:textId="77777777" w:rsidTr="008F23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FD336" w14:textId="77777777" w:rsidR="007519F4" w:rsidRPr="00483044" w:rsidRDefault="007519F4" w:rsidP="00FD65BE">
            <w:pPr>
              <w:rPr>
                <w:sz w:val="14"/>
                <w:szCs w:val="14"/>
              </w:rPr>
            </w:pPr>
            <w:r w:rsidRPr="00483044">
              <w:rPr>
                <w:sz w:val="14"/>
                <w:szCs w:val="14"/>
              </w:rPr>
              <w:t>104</w:t>
            </w:r>
          </w:p>
        </w:tc>
        <w:tc>
          <w:tcPr>
            <w:tcW w:w="1227" w:type="dxa"/>
            <w:vAlign w:val="center"/>
            <w:hideMark/>
          </w:tcPr>
          <w:p w14:paraId="25869C34" w14:textId="77777777" w:rsidR="007519F4" w:rsidRPr="00483044" w:rsidRDefault="007519F4" w:rsidP="00FD65BE">
            <w:pPr>
              <w:rPr>
                <w:sz w:val="14"/>
                <w:szCs w:val="14"/>
              </w:rPr>
            </w:pPr>
            <w:proofErr w:type="spellStart"/>
            <w:r w:rsidRPr="00483044">
              <w:rPr>
                <w:sz w:val="14"/>
                <w:szCs w:val="14"/>
              </w:rPr>
              <w:t>MessageType</w:t>
            </w:r>
            <w:proofErr w:type="spellEnd"/>
          </w:p>
        </w:tc>
        <w:tc>
          <w:tcPr>
            <w:tcW w:w="5027" w:type="dxa"/>
            <w:vAlign w:val="center"/>
            <w:hideMark/>
          </w:tcPr>
          <w:p w14:paraId="38234BB6" w14:textId="77777777" w:rsidR="007519F4" w:rsidRPr="00483044" w:rsidRDefault="007519F4" w:rsidP="00FD65BE">
            <w:pPr>
              <w:rPr>
                <w:sz w:val="14"/>
                <w:szCs w:val="14"/>
              </w:rPr>
            </w:pPr>
            <w:proofErr w:type="spellStart"/>
            <w:r w:rsidRPr="00483044">
              <w:rPr>
                <w:sz w:val="14"/>
                <w:szCs w:val="14"/>
              </w:rPr>
              <w:t>MessageType</w:t>
            </w:r>
            <w:proofErr w:type="spellEnd"/>
            <w:r w:rsidRPr="00483044">
              <w:rPr>
                <w:sz w:val="14"/>
                <w:szCs w:val="14"/>
              </w:rPr>
              <w:t xml:space="preserve"> i </w:t>
            </w:r>
            <w:proofErr w:type="spellStart"/>
            <w:r w:rsidRPr="00483044">
              <w:rPr>
                <w:sz w:val="14"/>
                <w:szCs w:val="14"/>
              </w:rPr>
              <w:t>MessageSpec</w:t>
            </w:r>
            <w:proofErr w:type="spellEnd"/>
            <w:r w:rsidRPr="00483044">
              <w:rPr>
                <w:sz w:val="14"/>
                <w:szCs w:val="14"/>
              </w:rPr>
              <w:t xml:space="preserve"> skal være "PMT"</w:t>
            </w:r>
          </w:p>
        </w:tc>
        <w:tc>
          <w:tcPr>
            <w:tcW w:w="2217" w:type="dxa"/>
            <w:vAlign w:val="center"/>
            <w:hideMark/>
          </w:tcPr>
          <w:p w14:paraId="3D1C5045" w14:textId="77AF84FC" w:rsidR="007519F4" w:rsidRPr="006513AF" w:rsidRDefault="007519F4" w:rsidP="00FD65BE">
            <w:pPr>
              <w:rPr>
                <w:sz w:val="14"/>
                <w:szCs w:val="14"/>
              </w:rPr>
            </w:pPr>
            <w:r w:rsidRPr="006513AF">
              <w:rPr>
                <w:sz w:val="14"/>
                <w:szCs w:val="14"/>
              </w:rPr>
              <w:t xml:space="preserve">I sektionen </w:t>
            </w:r>
            <w:proofErr w:type="spellStart"/>
            <w:r w:rsidRPr="006513AF">
              <w:rPr>
                <w:sz w:val="14"/>
                <w:szCs w:val="14"/>
              </w:rPr>
              <w:t>MessageSpec</w:t>
            </w:r>
            <w:proofErr w:type="spellEnd"/>
            <w:r w:rsidRPr="006513AF">
              <w:rPr>
                <w:sz w:val="14"/>
                <w:szCs w:val="14"/>
              </w:rPr>
              <w:t xml:space="preserve"> skal </w:t>
            </w:r>
            <w:proofErr w:type="spellStart"/>
            <w:r w:rsidRPr="006513AF">
              <w:rPr>
                <w:sz w:val="14"/>
                <w:szCs w:val="14"/>
              </w:rPr>
              <w:t>MesageType</w:t>
            </w:r>
            <w:proofErr w:type="spellEnd"/>
            <w:r w:rsidRPr="006513AF">
              <w:rPr>
                <w:sz w:val="14"/>
                <w:szCs w:val="14"/>
              </w:rPr>
              <w:t xml:space="preserve"> være "PMT" uden citationstegn.</w:t>
            </w:r>
          </w:p>
        </w:tc>
      </w:tr>
      <w:bookmarkEnd w:id="4"/>
    </w:tbl>
    <w:p w14:paraId="251F5C58" w14:textId="77777777" w:rsidR="007519F4" w:rsidRDefault="007519F4" w:rsidP="007519F4"/>
    <w:p w14:paraId="7562540F" w14:textId="77777777" w:rsidR="00A31952" w:rsidRDefault="00A31952" w:rsidP="007519F4"/>
    <w:p w14:paraId="1DFD34FA" w14:textId="77777777" w:rsidR="00A31952" w:rsidRDefault="00A31952" w:rsidP="007519F4"/>
    <w:p w14:paraId="7BC987EE" w14:textId="238DA971" w:rsidR="007B5420" w:rsidRDefault="00A15EC3" w:rsidP="00A15EC3">
      <w:pPr>
        <w:pStyle w:val="Overskrift1"/>
        <w:rPr>
          <w:lang w:eastAsia="da-DK"/>
        </w:rPr>
      </w:pPr>
      <w:bookmarkStart w:id="5" w:name="_Toc150171930"/>
      <w:r>
        <w:rPr>
          <w:lang w:eastAsia="da-DK"/>
        </w:rPr>
        <w:t>3</w:t>
      </w:r>
      <w:r w:rsidR="00487EBD">
        <w:rPr>
          <w:lang w:eastAsia="da-DK"/>
        </w:rPr>
        <w:t>.</w:t>
      </w:r>
      <w:r>
        <w:rPr>
          <w:lang w:eastAsia="da-DK"/>
        </w:rPr>
        <w:t xml:space="preserve"> </w:t>
      </w:r>
      <w:r w:rsidR="007519F4">
        <w:rPr>
          <w:lang w:eastAsia="da-DK"/>
        </w:rPr>
        <w:t xml:space="preserve">Indberetnings- og </w:t>
      </w:r>
      <w:proofErr w:type="spellStart"/>
      <w:r w:rsidR="007519F4">
        <w:rPr>
          <w:lang w:eastAsia="da-DK"/>
        </w:rPr>
        <w:t>valideringsflow</w:t>
      </w:r>
      <w:bookmarkEnd w:id="5"/>
      <w:proofErr w:type="spellEnd"/>
    </w:p>
    <w:p w14:paraId="42153570" w14:textId="4EC966AB" w:rsidR="00695897" w:rsidRDefault="00CD50DD" w:rsidP="00695897">
      <w:pPr>
        <w:rPr>
          <w:lang w:eastAsia="da-DK"/>
        </w:rPr>
      </w:pPr>
      <w:r>
        <w:rPr>
          <w:lang w:eastAsia="da-DK"/>
        </w:rPr>
        <w:t>Indberetninger</w:t>
      </w:r>
      <w:r w:rsidR="007E5E3B" w:rsidRPr="007E5E3B">
        <w:rPr>
          <w:lang w:eastAsia="da-DK"/>
        </w:rPr>
        <w:t xml:space="preserve"> </w:t>
      </w:r>
      <w:r w:rsidR="007E5E3B">
        <w:rPr>
          <w:lang w:eastAsia="da-DK"/>
        </w:rPr>
        <w:t>gennemgår nedenstående flow</w:t>
      </w:r>
      <w:r>
        <w:rPr>
          <w:lang w:eastAsia="da-DK"/>
        </w:rPr>
        <w:t>, uanset om disse indberettes via API eller via brugergrænsefladen</w:t>
      </w:r>
      <w:r w:rsidR="00A31952">
        <w:rPr>
          <w:lang w:eastAsia="da-DK"/>
        </w:rPr>
        <w:t xml:space="preserve"> (</w:t>
      </w:r>
      <w:proofErr w:type="spellStart"/>
      <w:r w:rsidR="00A31952">
        <w:rPr>
          <w:lang w:eastAsia="da-DK"/>
        </w:rPr>
        <w:t>TastSelv</w:t>
      </w:r>
      <w:proofErr w:type="spellEnd"/>
      <w:r w:rsidR="00A31952">
        <w:rPr>
          <w:lang w:eastAsia="da-DK"/>
        </w:rPr>
        <w:t xml:space="preserve"> Erhverv)</w:t>
      </w:r>
      <w:r w:rsidR="007E5E3B">
        <w:rPr>
          <w:lang w:eastAsia="da-DK"/>
        </w:rPr>
        <w:t>.</w:t>
      </w:r>
      <w:r>
        <w:rPr>
          <w:lang w:eastAsia="da-DK"/>
        </w:rPr>
        <w:t xml:space="preserve"> </w:t>
      </w:r>
      <w:r w:rsidR="007E5E3B">
        <w:rPr>
          <w:lang w:eastAsia="da-DK"/>
        </w:rPr>
        <w:t>G</w:t>
      </w:r>
      <w:r>
        <w:rPr>
          <w:lang w:eastAsia="da-DK"/>
        </w:rPr>
        <w:t>ennem flowet gennemgår indberetningerne en række valideringer</w:t>
      </w:r>
      <w:r w:rsidR="007E5E3B">
        <w:rPr>
          <w:lang w:eastAsia="da-DK"/>
        </w:rPr>
        <w:t>,</w:t>
      </w:r>
      <w:r>
        <w:rPr>
          <w:lang w:eastAsia="da-DK"/>
        </w:rPr>
        <w:t xml:space="preserve"> og status på indberetningen vil løbende blive opdateret.</w:t>
      </w:r>
    </w:p>
    <w:p w14:paraId="14ACAB9C" w14:textId="740230AE" w:rsidR="00CD50DD" w:rsidRDefault="00CD50DD" w:rsidP="00695897">
      <w:pPr>
        <w:rPr>
          <w:rStyle w:val="Hyperlink"/>
          <w:lang w:eastAsia="da-DK"/>
        </w:rPr>
      </w:pPr>
      <w:r>
        <w:rPr>
          <w:lang w:eastAsia="da-DK"/>
        </w:rPr>
        <w:t xml:space="preserve">Kvitteringer, valideringer og status kan altid ses via </w:t>
      </w:r>
      <w:r w:rsidR="007E5E3B">
        <w:rPr>
          <w:lang w:eastAsia="da-DK"/>
        </w:rPr>
        <w:t>overblikssiden</w:t>
      </w:r>
      <w:r>
        <w:rPr>
          <w:lang w:eastAsia="da-DK"/>
        </w:rPr>
        <w:t xml:space="preserve"> </w:t>
      </w:r>
      <w:r w:rsidR="00FF463D">
        <w:rPr>
          <w:lang w:eastAsia="da-DK"/>
        </w:rPr>
        <w:t xml:space="preserve">i </w:t>
      </w:r>
      <w:hyperlink r:id="rId12" w:history="1">
        <w:proofErr w:type="spellStart"/>
        <w:r w:rsidR="00FF463D" w:rsidRPr="00FF463D">
          <w:rPr>
            <w:rStyle w:val="Hyperlink"/>
            <w:lang w:eastAsia="da-DK"/>
          </w:rPr>
          <w:t>TastSelv</w:t>
        </w:r>
        <w:proofErr w:type="spellEnd"/>
        <w:r w:rsidR="00FF463D" w:rsidRPr="00FF463D">
          <w:rPr>
            <w:rStyle w:val="Hyperlink"/>
            <w:lang w:eastAsia="da-DK"/>
          </w:rPr>
          <w:t xml:space="preserve"> Erhverv</w:t>
        </w:r>
      </w:hyperlink>
      <w:r w:rsidR="00FF463D">
        <w:rPr>
          <w:lang w:eastAsia="da-DK"/>
        </w:rPr>
        <w:t xml:space="preserve"> </w:t>
      </w:r>
      <w:r>
        <w:rPr>
          <w:lang w:eastAsia="da-DK"/>
        </w:rPr>
        <w:t xml:space="preserve">eller hentes via de udstillede </w:t>
      </w:r>
      <w:proofErr w:type="spellStart"/>
      <w:r>
        <w:rPr>
          <w:lang w:eastAsia="da-DK"/>
        </w:rPr>
        <w:t>API</w:t>
      </w:r>
      <w:r w:rsidR="007E5E3B">
        <w:rPr>
          <w:lang w:eastAsia="da-DK"/>
        </w:rPr>
        <w:t>’</w:t>
      </w:r>
      <w:r>
        <w:rPr>
          <w:lang w:eastAsia="da-DK"/>
        </w:rPr>
        <w:t>er</w:t>
      </w:r>
      <w:proofErr w:type="spellEnd"/>
      <w:r>
        <w:rPr>
          <w:lang w:eastAsia="da-DK"/>
        </w:rPr>
        <w:t>.</w:t>
      </w:r>
    </w:p>
    <w:p w14:paraId="034552AD" w14:textId="77777777" w:rsidR="00A15EC3" w:rsidRDefault="00A15EC3" w:rsidP="00A15EC3">
      <w:pPr>
        <w:rPr>
          <w:lang w:eastAsia="da-DK"/>
        </w:rPr>
      </w:pPr>
    </w:p>
    <w:p w14:paraId="78D60514" w14:textId="600ACCD1" w:rsidR="00A15EC3" w:rsidRDefault="00A15EC3" w:rsidP="00A15EC3">
      <w:pPr>
        <w:pStyle w:val="Overskrift2"/>
        <w:rPr>
          <w:lang w:eastAsia="da-DK"/>
        </w:rPr>
      </w:pPr>
      <w:bookmarkStart w:id="6" w:name="_Toc150171931"/>
      <w:r>
        <w:rPr>
          <w:lang w:eastAsia="da-DK"/>
        </w:rPr>
        <w:t xml:space="preserve">3.1 </w:t>
      </w:r>
      <w:r w:rsidR="00CD50DD">
        <w:rPr>
          <w:lang w:eastAsia="da-DK"/>
        </w:rPr>
        <w:t>Kvittering</w:t>
      </w:r>
      <w:bookmarkEnd w:id="6"/>
    </w:p>
    <w:p w14:paraId="0F48FB98" w14:textId="77777777" w:rsidR="003125D8" w:rsidRDefault="00CD50DD" w:rsidP="00A15EC3">
      <w:pPr>
        <w:rPr>
          <w:lang w:eastAsia="da-DK"/>
        </w:rPr>
      </w:pPr>
      <w:r>
        <w:rPr>
          <w:lang w:eastAsia="da-DK"/>
        </w:rPr>
        <w:t>Umiddelbart efter indlevering danner CESOP-DK en kvittering</w:t>
      </w:r>
      <w:r w:rsidR="00A820A4">
        <w:rPr>
          <w:lang w:eastAsia="da-DK"/>
        </w:rPr>
        <w:t xml:space="preserve">. Denne kvittering er en bekræftelse på, at filen nu er indleveret til Skatteforvaltningen. </w:t>
      </w:r>
    </w:p>
    <w:p w14:paraId="6BDCA4D7" w14:textId="011ECC14" w:rsidR="00A15EC3" w:rsidRDefault="00A820A4" w:rsidP="00A15EC3">
      <w:pPr>
        <w:rPr>
          <w:lang w:eastAsia="da-DK"/>
        </w:rPr>
      </w:pPr>
      <w:r>
        <w:rPr>
          <w:lang w:eastAsia="da-DK"/>
        </w:rPr>
        <w:t>Filen indeholder desuden indleverings ID, som er det unikke ID</w:t>
      </w:r>
      <w:r w:rsidR="003125D8">
        <w:rPr>
          <w:lang w:eastAsia="da-DK"/>
        </w:rPr>
        <w:t>,</w:t>
      </w:r>
      <w:r>
        <w:rPr>
          <w:lang w:eastAsia="da-DK"/>
        </w:rPr>
        <w:t xml:space="preserve"> der identificerer indberetningen hos Skatteforvaltningen. Ved efterfølgende henvendelser til Skatteforvaltningen </w:t>
      </w:r>
      <w:r w:rsidR="003125D8">
        <w:rPr>
          <w:lang w:eastAsia="da-DK"/>
        </w:rPr>
        <w:t xml:space="preserve">skal I oplyse </w:t>
      </w:r>
      <w:r>
        <w:rPr>
          <w:lang w:eastAsia="da-DK"/>
        </w:rPr>
        <w:t>dette ID.</w:t>
      </w:r>
    </w:p>
    <w:p w14:paraId="673BDC14" w14:textId="7E76D609" w:rsidR="00A820A4" w:rsidRDefault="00A820A4" w:rsidP="00A15EC3">
      <w:pPr>
        <w:rPr>
          <w:lang w:eastAsia="da-DK"/>
        </w:rPr>
      </w:pPr>
    </w:p>
    <w:p w14:paraId="2FFE1141" w14:textId="3A8B46E8" w:rsidR="00A820A4" w:rsidRDefault="00A820A4" w:rsidP="00A820A4">
      <w:pPr>
        <w:pStyle w:val="Overskrift2"/>
        <w:rPr>
          <w:lang w:eastAsia="da-DK"/>
        </w:rPr>
      </w:pPr>
      <w:bookmarkStart w:id="7" w:name="_Toc150171932"/>
      <w:r>
        <w:rPr>
          <w:lang w:eastAsia="da-DK"/>
        </w:rPr>
        <w:t>3.2 National validering</w:t>
      </w:r>
      <w:bookmarkEnd w:id="7"/>
    </w:p>
    <w:p w14:paraId="5F6FF3ED" w14:textId="77777777" w:rsidR="003125D8" w:rsidRDefault="005E40C9" w:rsidP="00A820A4">
      <w:pPr>
        <w:rPr>
          <w:lang w:eastAsia="da-DK"/>
        </w:rPr>
      </w:pPr>
      <w:r>
        <w:rPr>
          <w:lang w:eastAsia="da-DK"/>
        </w:rPr>
        <w:t xml:space="preserve">Efter modtagelsen valideres den indberettede fil. </w:t>
      </w:r>
      <w:r w:rsidR="0044090F">
        <w:rPr>
          <w:lang w:eastAsia="da-DK"/>
        </w:rPr>
        <w:t>Valideringen består af en XML skemavalidering og validering af, at forretningsregler</w:t>
      </w:r>
      <w:r w:rsidR="003125D8">
        <w:rPr>
          <w:lang w:eastAsia="da-DK"/>
        </w:rPr>
        <w:t>,</w:t>
      </w:r>
      <w:r w:rsidR="0044090F">
        <w:rPr>
          <w:lang w:eastAsia="da-DK"/>
        </w:rPr>
        <w:t xml:space="preserve"> der vedrører den enkelte indberetning, er overholdt. </w:t>
      </w:r>
    </w:p>
    <w:p w14:paraId="0C2C0B73" w14:textId="1587C215" w:rsidR="00A820A4" w:rsidRDefault="005E40C9" w:rsidP="00A820A4">
      <w:pPr>
        <w:rPr>
          <w:lang w:eastAsia="da-DK"/>
        </w:rPr>
      </w:pPr>
      <w:r>
        <w:rPr>
          <w:lang w:eastAsia="da-DK"/>
        </w:rPr>
        <w:t>Resultatet af denne nationale validering kan hentes via brugergrænsefladen eller API.</w:t>
      </w:r>
    </w:p>
    <w:p w14:paraId="7E7AB001" w14:textId="43BF06D5" w:rsidR="005E40C9" w:rsidRDefault="005E40C9" w:rsidP="00A820A4">
      <w:pPr>
        <w:rPr>
          <w:lang w:eastAsia="da-DK"/>
        </w:rPr>
      </w:pPr>
    </w:p>
    <w:p w14:paraId="1275E596" w14:textId="420A5D85" w:rsidR="005E40C9" w:rsidRDefault="005E40C9" w:rsidP="005E40C9">
      <w:pPr>
        <w:pStyle w:val="Overskrift3"/>
        <w:rPr>
          <w:lang w:eastAsia="da-DK"/>
        </w:rPr>
      </w:pPr>
      <w:bookmarkStart w:id="8" w:name="_Toc150171933"/>
      <w:r>
        <w:rPr>
          <w:lang w:eastAsia="da-DK"/>
        </w:rPr>
        <w:t>3.2.1 National validering afvist</w:t>
      </w:r>
      <w:bookmarkEnd w:id="8"/>
    </w:p>
    <w:p w14:paraId="22B28B03" w14:textId="2A5E4A09" w:rsidR="005E40C9" w:rsidRDefault="005E40C9" w:rsidP="005E40C9">
      <w:pPr>
        <w:rPr>
          <w:lang w:eastAsia="da-DK"/>
        </w:rPr>
      </w:pPr>
      <w:r>
        <w:rPr>
          <w:lang w:eastAsia="da-DK"/>
        </w:rPr>
        <w:t>Hvis der i forbindelse med den nationale validering er konsta</w:t>
      </w:r>
      <w:r w:rsidR="0044090F">
        <w:rPr>
          <w:lang w:eastAsia="da-DK"/>
        </w:rPr>
        <w:t xml:space="preserve">teret en overtrædelse af </w:t>
      </w:r>
      <w:r w:rsidR="00487EBD">
        <w:rPr>
          <w:lang w:eastAsia="da-DK"/>
        </w:rPr>
        <w:t>XML-skema</w:t>
      </w:r>
      <w:r w:rsidR="0044090F">
        <w:rPr>
          <w:lang w:eastAsia="da-DK"/>
        </w:rPr>
        <w:t xml:space="preserve"> eller forretningsregler, vil hele indberetningen blive afvist. </w:t>
      </w:r>
      <w:r w:rsidR="00F54218">
        <w:rPr>
          <w:lang w:eastAsia="da-DK"/>
        </w:rPr>
        <w:t>Alle betalingsoplysninger s</w:t>
      </w:r>
      <w:r w:rsidR="0044090F">
        <w:rPr>
          <w:lang w:eastAsia="da-DK"/>
        </w:rPr>
        <w:t>kal i dette tilfælde indberettes på ny. Valideringsrapporten vil indeholde en detaljeret fejlbeskrivelse.</w:t>
      </w:r>
    </w:p>
    <w:p w14:paraId="336B0AE2" w14:textId="2C8D46FC" w:rsidR="0044090F" w:rsidRDefault="0044090F" w:rsidP="005E40C9">
      <w:pPr>
        <w:rPr>
          <w:lang w:eastAsia="da-DK"/>
        </w:rPr>
      </w:pPr>
    </w:p>
    <w:p w14:paraId="42E904F1" w14:textId="268EE099" w:rsidR="0044090F" w:rsidRDefault="0044090F" w:rsidP="0044090F">
      <w:pPr>
        <w:pStyle w:val="Overskrift3"/>
        <w:rPr>
          <w:lang w:eastAsia="da-DK"/>
        </w:rPr>
      </w:pPr>
      <w:bookmarkStart w:id="9" w:name="_Toc150171934"/>
      <w:r>
        <w:rPr>
          <w:lang w:eastAsia="da-DK"/>
        </w:rPr>
        <w:t>3.2.2 National validering godkendt</w:t>
      </w:r>
      <w:bookmarkEnd w:id="9"/>
    </w:p>
    <w:p w14:paraId="524B0388" w14:textId="143BA748" w:rsidR="0044090F" w:rsidRDefault="0044090F" w:rsidP="0044090F">
      <w:pPr>
        <w:rPr>
          <w:lang w:eastAsia="da-DK"/>
        </w:rPr>
      </w:pPr>
      <w:r>
        <w:rPr>
          <w:lang w:eastAsia="da-DK"/>
        </w:rPr>
        <w:t>Hvis der ved den national</w:t>
      </w:r>
      <w:r w:rsidR="00BC3665">
        <w:rPr>
          <w:lang w:eastAsia="da-DK"/>
        </w:rPr>
        <w:t>e</w:t>
      </w:r>
      <w:r>
        <w:rPr>
          <w:lang w:eastAsia="da-DK"/>
        </w:rPr>
        <w:t xml:space="preserve"> validering ikke konstateres overtrædelse af </w:t>
      </w:r>
      <w:r w:rsidR="00487EBD">
        <w:rPr>
          <w:lang w:eastAsia="da-DK"/>
        </w:rPr>
        <w:t>XML-skema</w:t>
      </w:r>
      <w:r>
        <w:rPr>
          <w:lang w:eastAsia="da-DK"/>
        </w:rPr>
        <w:t xml:space="preserve"> eller forretningsregler</w:t>
      </w:r>
      <w:r w:rsidR="00BC3665">
        <w:rPr>
          <w:lang w:eastAsia="da-DK"/>
        </w:rPr>
        <w:t>,</w:t>
      </w:r>
      <w:r>
        <w:rPr>
          <w:lang w:eastAsia="da-DK"/>
        </w:rPr>
        <w:t xml:space="preserve"> vil file</w:t>
      </w:r>
      <w:r w:rsidR="00BC3665">
        <w:rPr>
          <w:lang w:eastAsia="da-DK"/>
        </w:rPr>
        <w:t>n</w:t>
      </w:r>
      <w:r>
        <w:rPr>
          <w:lang w:eastAsia="da-DK"/>
        </w:rPr>
        <w:t xml:space="preserve"> blive sendt videre til det centrale CESOP i EU. Filen er ikke endeligt godkendt, </w:t>
      </w:r>
      <w:r w:rsidR="00BC3665">
        <w:rPr>
          <w:lang w:eastAsia="da-DK"/>
        </w:rPr>
        <w:t xml:space="preserve">selvom den er sendt </w:t>
      </w:r>
      <w:r w:rsidR="0065510A">
        <w:rPr>
          <w:lang w:eastAsia="da-DK"/>
        </w:rPr>
        <w:t xml:space="preserve">videre, da </w:t>
      </w:r>
      <w:r w:rsidR="00A31952">
        <w:rPr>
          <w:lang w:eastAsia="da-DK"/>
        </w:rPr>
        <w:t xml:space="preserve">den endelige </w:t>
      </w:r>
      <w:r w:rsidR="0065510A">
        <w:rPr>
          <w:lang w:eastAsia="da-DK"/>
        </w:rPr>
        <w:t xml:space="preserve">godkendelse først </w:t>
      </w:r>
      <w:r>
        <w:rPr>
          <w:lang w:eastAsia="da-DK"/>
        </w:rPr>
        <w:t>sker i EU.</w:t>
      </w:r>
    </w:p>
    <w:p w14:paraId="351CB593" w14:textId="440F7BE2" w:rsidR="0044090F" w:rsidRPr="0044090F" w:rsidRDefault="0065510A" w:rsidP="0044090F">
      <w:pPr>
        <w:rPr>
          <w:lang w:eastAsia="da-DK"/>
        </w:rPr>
      </w:pPr>
      <w:r>
        <w:rPr>
          <w:lang w:eastAsia="da-DK"/>
        </w:rPr>
        <w:t xml:space="preserve">I </w:t>
      </w:r>
      <w:hyperlink r:id="rId13" w:history="1">
        <w:proofErr w:type="spellStart"/>
        <w:r w:rsidRPr="0065510A">
          <w:rPr>
            <w:rStyle w:val="Hyperlink"/>
            <w:lang w:eastAsia="da-DK"/>
          </w:rPr>
          <w:t>TastSelv</w:t>
        </w:r>
        <w:proofErr w:type="spellEnd"/>
        <w:r w:rsidRPr="0065510A">
          <w:rPr>
            <w:rStyle w:val="Hyperlink"/>
            <w:lang w:eastAsia="da-DK"/>
          </w:rPr>
          <w:t xml:space="preserve"> Erhverv</w:t>
        </w:r>
      </w:hyperlink>
      <w:r>
        <w:rPr>
          <w:lang w:eastAsia="da-DK"/>
        </w:rPr>
        <w:t xml:space="preserve"> </w:t>
      </w:r>
      <w:r w:rsidR="0044090F">
        <w:rPr>
          <w:lang w:eastAsia="da-DK"/>
        </w:rPr>
        <w:t>vil</w:t>
      </w:r>
      <w:r>
        <w:rPr>
          <w:lang w:eastAsia="da-DK"/>
        </w:rPr>
        <w:t xml:space="preserve"> der</w:t>
      </w:r>
      <w:r w:rsidR="0044090F">
        <w:rPr>
          <w:lang w:eastAsia="da-DK"/>
        </w:rPr>
        <w:t xml:space="preserve"> </w:t>
      </w:r>
      <w:r>
        <w:rPr>
          <w:lang w:eastAsia="da-DK"/>
        </w:rPr>
        <w:t xml:space="preserve">dog </w:t>
      </w:r>
      <w:r w:rsidR="0044090F">
        <w:rPr>
          <w:lang w:eastAsia="da-DK"/>
        </w:rPr>
        <w:t>være en national valideringsrapport</w:t>
      </w:r>
      <w:r>
        <w:rPr>
          <w:lang w:eastAsia="da-DK"/>
        </w:rPr>
        <w:t>,</w:t>
      </w:r>
      <w:r w:rsidR="0044090F">
        <w:rPr>
          <w:lang w:eastAsia="da-DK"/>
        </w:rPr>
        <w:t xml:space="preserve"> der bekræfter</w:t>
      </w:r>
      <w:r>
        <w:rPr>
          <w:lang w:eastAsia="da-DK"/>
        </w:rPr>
        <w:t>,</w:t>
      </w:r>
      <w:r w:rsidR="0044090F">
        <w:rPr>
          <w:lang w:eastAsia="da-DK"/>
        </w:rPr>
        <w:t xml:space="preserve"> at der ikke er fundet fejl i forbindelse med valideringen.</w:t>
      </w:r>
    </w:p>
    <w:p w14:paraId="5259A5E2" w14:textId="543DA8A4" w:rsidR="005F08E3" w:rsidRDefault="005F08E3" w:rsidP="00A820A4">
      <w:pPr>
        <w:rPr>
          <w:lang w:eastAsia="da-DK"/>
        </w:rPr>
      </w:pPr>
    </w:p>
    <w:p w14:paraId="780BA19D" w14:textId="77777777" w:rsidR="00A31952" w:rsidRDefault="00A31952" w:rsidP="00A820A4">
      <w:pPr>
        <w:rPr>
          <w:lang w:eastAsia="da-DK"/>
        </w:rPr>
      </w:pPr>
    </w:p>
    <w:p w14:paraId="6A31669B" w14:textId="77777777" w:rsidR="00A31952" w:rsidRDefault="00A31952" w:rsidP="00A820A4">
      <w:pPr>
        <w:rPr>
          <w:lang w:eastAsia="da-DK"/>
        </w:rPr>
      </w:pPr>
    </w:p>
    <w:p w14:paraId="11808EE7" w14:textId="77777777" w:rsidR="00A31952" w:rsidRDefault="00A31952" w:rsidP="00A820A4">
      <w:pPr>
        <w:rPr>
          <w:lang w:eastAsia="da-DK"/>
        </w:rPr>
      </w:pPr>
    </w:p>
    <w:p w14:paraId="55727739" w14:textId="77777777" w:rsidR="00A31952" w:rsidRDefault="00A31952" w:rsidP="00A820A4">
      <w:pPr>
        <w:rPr>
          <w:lang w:eastAsia="da-DK"/>
        </w:rPr>
      </w:pPr>
    </w:p>
    <w:p w14:paraId="5C7B77BD" w14:textId="2461EE98" w:rsidR="005F08E3" w:rsidRDefault="005F08E3" w:rsidP="005F08E3">
      <w:pPr>
        <w:pStyle w:val="Overskrift2"/>
        <w:rPr>
          <w:lang w:eastAsia="da-DK"/>
        </w:rPr>
      </w:pPr>
      <w:bookmarkStart w:id="10" w:name="_Toc150171935"/>
      <w:r>
        <w:rPr>
          <w:lang w:eastAsia="da-DK"/>
        </w:rPr>
        <w:t>3.2 EU</w:t>
      </w:r>
      <w:r w:rsidR="00487EBD">
        <w:rPr>
          <w:lang w:eastAsia="da-DK"/>
        </w:rPr>
        <w:t>-</w:t>
      </w:r>
      <w:r>
        <w:rPr>
          <w:lang w:eastAsia="da-DK"/>
        </w:rPr>
        <w:t>validering</w:t>
      </w:r>
      <w:bookmarkEnd w:id="10"/>
    </w:p>
    <w:p w14:paraId="59CA9003" w14:textId="5EB87FEC" w:rsidR="005F08E3" w:rsidRDefault="0044090F" w:rsidP="005F08E3">
      <w:pPr>
        <w:rPr>
          <w:lang w:eastAsia="da-DK"/>
        </w:rPr>
      </w:pPr>
      <w:r>
        <w:rPr>
          <w:lang w:eastAsia="da-DK"/>
        </w:rPr>
        <w:t xml:space="preserve">Når indberetningen er godkendt </w:t>
      </w:r>
      <w:r w:rsidR="00793C4A">
        <w:rPr>
          <w:lang w:eastAsia="da-DK"/>
        </w:rPr>
        <w:t xml:space="preserve">på nationalt plan og sendt til EU, sker </w:t>
      </w:r>
      <w:r w:rsidR="0009788B">
        <w:rPr>
          <w:lang w:eastAsia="da-DK"/>
        </w:rPr>
        <w:t xml:space="preserve">en </w:t>
      </w:r>
      <w:r w:rsidR="00793C4A">
        <w:rPr>
          <w:lang w:eastAsia="da-DK"/>
        </w:rPr>
        <w:t xml:space="preserve">yderligere validering. Denne validering udføres af EU, da </w:t>
      </w:r>
      <w:r w:rsidR="0009788B">
        <w:rPr>
          <w:lang w:eastAsia="da-DK"/>
        </w:rPr>
        <w:t xml:space="preserve">de </w:t>
      </w:r>
      <w:r w:rsidR="00793C4A">
        <w:rPr>
          <w:lang w:eastAsia="da-DK"/>
        </w:rPr>
        <w:t>kræver</w:t>
      </w:r>
      <w:r w:rsidR="0009788B">
        <w:rPr>
          <w:lang w:eastAsia="da-DK"/>
        </w:rPr>
        <w:t>,</w:t>
      </w:r>
      <w:r w:rsidR="00793C4A">
        <w:rPr>
          <w:lang w:eastAsia="da-DK"/>
        </w:rPr>
        <w:t xml:space="preserve"> at data sammenholdes med andre indleveringer af betalingsdata. Valideringsreglerne er beskrevet i </w:t>
      </w:r>
      <w:r w:rsidR="0009788B">
        <w:rPr>
          <w:lang w:eastAsia="da-DK"/>
        </w:rPr>
        <w:t xml:space="preserve">dokumentet </w:t>
      </w:r>
      <w:r w:rsidR="00793C4A" w:rsidRPr="008D0985">
        <w:rPr>
          <w:b/>
          <w:bCs/>
          <w:lang w:eastAsia="da-DK"/>
        </w:rPr>
        <w:t>XSD User Guide</w:t>
      </w:r>
      <w:r w:rsidR="00793C4A">
        <w:rPr>
          <w:lang w:eastAsia="da-DK"/>
        </w:rPr>
        <w:t>.</w:t>
      </w:r>
      <w:r w:rsidR="0027401E">
        <w:rPr>
          <w:lang w:eastAsia="da-DK"/>
        </w:rPr>
        <w:t xml:space="preserve"> XSD User Guiden kan hentes her</w:t>
      </w:r>
      <w:r w:rsidR="00FE46B8">
        <w:rPr>
          <w:lang w:eastAsia="da-DK"/>
        </w:rPr>
        <w:t>:</w:t>
      </w:r>
      <w:r w:rsidR="0027401E">
        <w:rPr>
          <w:lang w:eastAsia="da-DK"/>
        </w:rPr>
        <w:t xml:space="preserve"> </w:t>
      </w:r>
      <w:r w:rsidR="0027401E" w:rsidRPr="0027401E">
        <w:rPr>
          <w:lang w:eastAsia="da-DK"/>
        </w:rPr>
        <w:t>https://taxation-customs.ec.europa.eu/taxation-1/central-electronic-system-payment-information-cesop_en</w:t>
      </w:r>
    </w:p>
    <w:p w14:paraId="158B211D" w14:textId="15820FFC" w:rsidR="00793C4A" w:rsidRDefault="00793C4A" w:rsidP="005F08E3">
      <w:pPr>
        <w:rPr>
          <w:lang w:eastAsia="da-DK"/>
        </w:rPr>
      </w:pPr>
    </w:p>
    <w:p w14:paraId="39ABEC1A" w14:textId="0C669A27" w:rsidR="00793C4A" w:rsidRDefault="00793C4A" w:rsidP="00793C4A">
      <w:pPr>
        <w:pStyle w:val="Overskrift3"/>
      </w:pPr>
      <w:bookmarkStart w:id="11" w:name="_Toc150171936"/>
      <w:r>
        <w:rPr>
          <w:lang w:eastAsia="da-DK"/>
        </w:rPr>
        <w:t>3.2.1 EU valideringssvar</w:t>
      </w:r>
      <w:r w:rsidR="00273F01">
        <w:rPr>
          <w:lang w:eastAsia="da-DK"/>
        </w:rPr>
        <w:t>:</w:t>
      </w:r>
      <w:r>
        <w:rPr>
          <w:lang w:eastAsia="da-DK"/>
        </w:rPr>
        <w:t xml:space="preserve"> </w:t>
      </w:r>
      <w:r>
        <w:t>FULLY REJECTED</w:t>
      </w:r>
      <w:bookmarkEnd w:id="11"/>
    </w:p>
    <w:p w14:paraId="4AF4341F" w14:textId="37D933BD" w:rsidR="00793C4A" w:rsidRDefault="00793C4A" w:rsidP="00793C4A">
      <w:r>
        <w:t>Modtag</w:t>
      </w:r>
      <w:r w:rsidR="00273F01">
        <w:t>er I</w:t>
      </w:r>
      <w:r>
        <w:t xml:space="preserve"> en </w:t>
      </w:r>
      <w:r w:rsidR="00487EBD">
        <w:t>EU-validering</w:t>
      </w:r>
      <w:r>
        <w:t xml:space="preserve"> med status </w:t>
      </w:r>
      <w:r w:rsidR="00273F01">
        <w:t>’</w:t>
      </w:r>
      <w:r>
        <w:t>FULLY REJECTED</w:t>
      </w:r>
      <w:r w:rsidR="00273F01">
        <w:t>’,</w:t>
      </w:r>
      <w:r>
        <w:t xml:space="preserve"> betyder det, at indberetningen er afvist i sin helhed. I dette tilfælde skal </w:t>
      </w:r>
      <w:r w:rsidR="00273F01">
        <w:t xml:space="preserve">I </w:t>
      </w:r>
      <w:r>
        <w:t>foretage</w:t>
      </w:r>
      <w:r w:rsidR="001D30AF">
        <w:t xml:space="preserve"> en</w:t>
      </w:r>
      <w:r>
        <w:t xml:space="preserve"> ny indberetning til CESOP-DK </w:t>
      </w:r>
      <w:r w:rsidR="001D30AF">
        <w:t xml:space="preserve">som </w:t>
      </w:r>
      <w:r>
        <w:t>erstatning for den afviste indberetning.</w:t>
      </w:r>
    </w:p>
    <w:p w14:paraId="2E9B2A87" w14:textId="11BB53E3" w:rsidR="00793C4A" w:rsidRDefault="00793C4A" w:rsidP="00793C4A"/>
    <w:p w14:paraId="12AE12B2" w14:textId="48423321" w:rsidR="00793C4A" w:rsidRDefault="00793C4A" w:rsidP="00793C4A">
      <w:pPr>
        <w:pStyle w:val="Overskrift3"/>
      </w:pPr>
      <w:bookmarkStart w:id="12" w:name="_Toc150171937"/>
      <w:r>
        <w:rPr>
          <w:lang w:eastAsia="da-DK"/>
        </w:rPr>
        <w:t>3.2.2 EU valideringssvar</w:t>
      </w:r>
      <w:r w:rsidR="00273F01">
        <w:rPr>
          <w:lang w:eastAsia="da-DK"/>
        </w:rPr>
        <w:t>:</w:t>
      </w:r>
      <w:r w:rsidRPr="00793C4A">
        <w:t xml:space="preserve"> </w:t>
      </w:r>
      <w:r>
        <w:t>PARTIALLY REJECTED</w:t>
      </w:r>
      <w:bookmarkEnd w:id="12"/>
    </w:p>
    <w:p w14:paraId="40A24F3B" w14:textId="0DFE0489" w:rsidR="00502EEE" w:rsidRDefault="00793C4A" w:rsidP="00502EEE">
      <w:r>
        <w:t>Modtage</w:t>
      </w:r>
      <w:r w:rsidR="001D30AF">
        <w:t>r I</w:t>
      </w:r>
      <w:r>
        <w:t xml:space="preserve"> en </w:t>
      </w:r>
      <w:r w:rsidR="00487EBD">
        <w:t>EU-validering</w:t>
      </w:r>
      <w:r>
        <w:t xml:space="preserve"> med status </w:t>
      </w:r>
      <w:r w:rsidR="001D30AF">
        <w:t>’</w:t>
      </w:r>
      <w:r w:rsidRPr="00793C4A">
        <w:t>PARTIALLY REJECTED’</w:t>
      </w:r>
      <w:r w:rsidR="001D30AF">
        <w:t>,</w:t>
      </w:r>
      <w:r>
        <w:t xml:space="preserve"> betyder det, at dele af indberetningen er afvist. I valideringsrapporten fra EU vil det fremgå</w:t>
      </w:r>
      <w:r w:rsidR="001D30AF">
        <w:t>,</w:t>
      </w:r>
      <w:r>
        <w:t xml:space="preserve"> hvilke dele af indberetningen der er afvist. </w:t>
      </w:r>
      <w:r w:rsidR="00502EEE">
        <w:t xml:space="preserve">En sektion af indberetningen er altid defineret ved et </w:t>
      </w:r>
      <w:r w:rsidR="001D30AF">
        <w:t xml:space="preserve">såkaldt </w:t>
      </w:r>
      <w:r w:rsidR="00502EEE">
        <w:t>”</w:t>
      </w:r>
      <w:proofErr w:type="spellStart"/>
      <w:r w:rsidR="00502EEE">
        <w:t>DocRefId</w:t>
      </w:r>
      <w:proofErr w:type="spellEnd"/>
      <w:r w:rsidR="00502EEE">
        <w:t>”.</w:t>
      </w:r>
    </w:p>
    <w:p w14:paraId="2DC65C55" w14:textId="79EA23A0" w:rsidR="00502EEE" w:rsidRDefault="00502EEE" w:rsidP="00502EEE">
      <w:r>
        <w:t xml:space="preserve">I tilfælde hvor en indberetning er </w:t>
      </w:r>
      <w:r w:rsidR="005765F9">
        <w:t>’</w:t>
      </w:r>
      <w:r w:rsidRPr="00793C4A">
        <w:t>PARTIALLY REJECTED’</w:t>
      </w:r>
      <w:r w:rsidR="005765F9">
        <w:t>,</w:t>
      </w:r>
      <w:r>
        <w:t xml:space="preserve"> skal der indsendes en korrigerende indberetning. </w:t>
      </w:r>
      <w:r w:rsidRPr="00A31952">
        <w:rPr>
          <w:i/>
          <w:iCs/>
        </w:rPr>
        <w:t>Denne indberetning skal kun indeholde de data</w:t>
      </w:r>
      <w:r w:rsidR="005765F9" w:rsidRPr="00A31952">
        <w:rPr>
          <w:i/>
          <w:iCs/>
        </w:rPr>
        <w:t>,</w:t>
      </w:r>
      <w:r w:rsidRPr="00A31952">
        <w:rPr>
          <w:i/>
          <w:iCs/>
        </w:rPr>
        <w:t xml:space="preserve"> der skal rettes.</w:t>
      </w:r>
    </w:p>
    <w:p w14:paraId="40DBD478" w14:textId="25C3DBAD" w:rsidR="00502EEE" w:rsidRPr="00793C4A" w:rsidRDefault="00D229B4" w:rsidP="00502EEE">
      <w:r>
        <w:t xml:space="preserve">I afsnittet </w:t>
      </w:r>
      <w:r w:rsidRPr="008D0985">
        <w:rPr>
          <w:b/>
          <w:bCs/>
        </w:rPr>
        <w:t>Rettelser</w:t>
      </w:r>
      <w:r>
        <w:rPr>
          <w:b/>
          <w:bCs/>
        </w:rPr>
        <w:t xml:space="preserve"> </w:t>
      </w:r>
      <w:r>
        <w:t>herunder kan I læse en</w:t>
      </w:r>
      <w:r w:rsidR="005765F9">
        <w:t xml:space="preserve"> </w:t>
      </w:r>
      <w:r w:rsidR="00502EEE">
        <w:t>beskrivelse af rettelsesprincippet</w:t>
      </w:r>
      <w:r>
        <w:t xml:space="preserve">. </w:t>
      </w:r>
    </w:p>
    <w:p w14:paraId="3B0FF5E7" w14:textId="2DD0FC47" w:rsidR="00793C4A" w:rsidRPr="00793C4A" w:rsidRDefault="00793C4A" w:rsidP="00793C4A"/>
    <w:p w14:paraId="46C8E44C" w14:textId="2481B018" w:rsidR="00793C4A" w:rsidRDefault="00793C4A" w:rsidP="00793C4A">
      <w:pPr>
        <w:pStyle w:val="Overskrift3"/>
      </w:pPr>
      <w:bookmarkStart w:id="13" w:name="_Toc150171938"/>
      <w:r>
        <w:rPr>
          <w:lang w:eastAsia="da-DK"/>
        </w:rPr>
        <w:t>3.2.1 EU valideringssvar</w:t>
      </w:r>
      <w:r w:rsidR="00D229B4">
        <w:t xml:space="preserve">: </w:t>
      </w:r>
      <w:r w:rsidR="00502EEE">
        <w:t>VALIDATED</w:t>
      </w:r>
      <w:bookmarkEnd w:id="13"/>
    </w:p>
    <w:p w14:paraId="27502865" w14:textId="368ED347" w:rsidR="00502EEE" w:rsidRDefault="00793C4A" w:rsidP="00502EEE">
      <w:r>
        <w:t>Modtage</w:t>
      </w:r>
      <w:r w:rsidR="00D229B4">
        <w:t>r I</w:t>
      </w:r>
      <w:r>
        <w:t xml:space="preserve"> en </w:t>
      </w:r>
      <w:r w:rsidR="00487EBD">
        <w:t>EU-validering</w:t>
      </w:r>
      <w:r>
        <w:t xml:space="preserve"> med status </w:t>
      </w:r>
      <w:r w:rsidR="00D229B4">
        <w:t>’</w:t>
      </w:r>
      <w:r w:rsidR="00502EEE">
        <w:t>VALIDATED</w:t>
      </w:r>
      <w:r w:rsidR="00D229B4">
        <w:t>’</w:t>
      </w:r>
      <w:r>
        <w:t xml:space="preserve"> betyder det, at </w:t>
      </w:r>
      <w:r w:rsidR="00502EEE">
        <w:t>indberetning er godkendt af EU</w:t>
      </w:r>
      <w:r w:rsidR="006B12A0">
        <w:t xml:space="preserve">. I dette tilfælde skal </w:t>
      </w:r>
      <w:r w:rsidR="00D229B4">
        <w:t xml:space="preserve">I </w:t>
      </w:r>
      <w:r w:rsidR="006B12A0">
        <w:t>ikke gøre mere i forbindelse med indberetningen.</w:t>
      </w:r>
    </w:p>
    <w:p w14:paraId="3B2E0BCF" w14:textId="257C3D23" w:rsidR="006B12A0" w:rsidRPr="00793C4A" w:rsidRDefault="006B12A0" w:rsidP="00502EEE">
      <w:r>
        <w:t xml:space="preserve">Hvis det efterfølgende konstateres, at indberetning </w:t>
      </w:r>
      <w:r w:rsidR="00D229B4">
        <w:t xml:space="preserve">alligevel </w:t>
      </w:r>
      <w:r>
        <w:t>er fejlbehæftet, skal fejlene rettes af den indberetningspligtige. Dette sker efter samme fremgangsmetode</w:t>
      </w:r>
      <w:r w:rsidR="00D229B4">
        <w:t>,</w:t>
      </w:r>
      <w:r>
        <w:t xml:space="preserve"> som hvis indberetningen var </w:t>
      </w:r>
      <w:r w:rsidR="00D229B4">
        <w:t>’</w:t>
      </w:r>
      <w:r w:rsidR="00413C65">
        <w:t>PARTIALLY REJECTED</w:t>
      </w:r>
      <w:r w:rsidR="00D229B4">
        <w:t>’.</w:t>
      </w:r>
    </w:p>
    <w:p w14:paraId="67CD03EB" w14:textId="3F1C4B21" w:rsidR="005F08E3" w:rsidRDefault="005F08E3" w:rsidP="005F08E3">
      <w:pPr>
        <w:rPr>
          <w:lang w:eastAsia="da-DK"/>
        </w:rPr>
      </w:pPr>
    </w:p>
    <w:p w14:paraId="3B7AF506" w14:textId="51A9DAD8" w:rsidR="005F08E3" w:rsidRDefault="005F08E3" w:rsidP="005F08E3">
      <w:pPr>
        <w:pStyle w:val="Overskrift2"/>
        <w:rPr>
          <w:lang w:eastAsia="da-DK"/>
        </w:rPr>
      </w:pPr>
      <w:bookmarkStart w:id="14" w:name="_Toc150171939"/>
      <w:r>
        <w:rPr>
          <w:lang w:eastAsia="da-DK"/>
        </w:rPr>
        <w:t>3.3 Status på indlevering</w:t>
      </w:r>
      <w:bookmarkEnd w:id="14"/>
    </w:p>
    <w:p w14:paraId="7C3D7611" w14:textId="2A42230F" w:rsidR="00502EEE" w:rsidRDefault="00502EEE" w:rsidP="00502EEE">
      <w:pPr>
        <w:rPr>
          <w:lang w:eastAsia="da-DK"/>
        </w:rPr>
      </w:pPr>
      <w:r>
        <w:rPr>
          <w:lang w:eastAsia="da-DK"/>
        </w:rPr>
        <w:t>For hvert trin i indlevering og validering vil en indlevering få tilknyttet en status. Denne status fortæller</w:t>
      </w:r>
      <w:r w:rsidR="00256FC0">
        <w:rPr>
          <w:lang w:eastAsia="da-DK"/>
        </w:rPr>
        <w:t>,</w:t>
      </w:r>
      <w:r>
        <w:rPr>
          <w:lang w:eastAsia="da-DK"/>
        </w:rPr>
        <w:t xml:space="preserve"> hvor langt indberetningen er i processen</w:t>
      </w:r>
      <w:r w:rsidR="00B25AB8">
        <w:rPr>
          <w:lang w:eastAsia="da-DK"/>
        </w:rPr>
        <w:t>,</w:t>
      </w:r>
      <w:r>
        <w:rPr>
          <w:lang w:eastAsia="da-DK"/>
        </w:rPr>
        <w:t xml:space="preserve"> og om indleveringen er godkendt</w:t>
      </w:r>
      <w:r w:rsidR="00B77054">
        <w:rPr>
          <w:lang w:eastAsia="da-DK"/>
        </w:rPr>
        <w:t>,</w:t>
      </w:r>
      <w:r>
        <w:rPr>
          <w:lang w:eastAsia="da-DK"/>
        </w:rPr>
        <w:t xml:space="preserve"> eller </w:t>
      </w:r>
      <w:r w:rsidR="00B77054">
        <w:rPr>
          <w:lang w:eastAsia="da-DK"/>
        </w:rPr>
        <w:t xml:space="preserve">om den er </w:t>
      </w:r>
      <w:r>
        <w:rPr>
          <w:lang w:eastAsia="da-DK"/>
        </w:rPr>
        <w:t>helt eller delvist afvist.</w:t>
      </w:r>
    </w:p>
    <w:p w14:paraId="45CA23D5" w14:textId="7B0F15DA" w:rsidR="00502EEE" w:rsidRDefault="00502EEE" w:rsidP="00502EEE">
      <w:pPr>
        <w:rPr>
          <w:lang w:eastAsia="da-DK"/>
        </w:rPr>
      </w:pPr>
      <w:r>
        <w:rPr>
          <w:lang w:eastAsia="da-DK"/>
        </w:rPr>
        <w:t>I nedenstående tabel kan du se de forskellige statusser og deres betydning.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7221"/>
      </w:tblGrid>
      <w:tr w:rsidR="00F17BFF" w14:paraId="49CEAA6C" w14:textId="77777777" w:rsidTr="006B12A0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A81ACDD" w14:textId="77777777" w:rsidR="006B12A0" w:rsidRPr="00F17BFF" w:rsidRDefault="006B12A0" w:rsidP="006B12A0">
            <w:pPr>
              <w:rPr>
                <w:rFonts w:ascii="Times New Roman" w:hAnsi="Times New Roman" w:cs="Times New Roman"/>
                <w:b/>
                <w:bCs/>
                <w:i/>
                <w:iCs/>
                <w:color w:val="172B4D"/>
                <w:sz w:val="24"/>
                <w:szCs w:val="24"/>
              </w:rPr>
            </w:pPr>
            <w:r w:rsidRPr="00F17BFF">
              <w:rPr>
                <w:b/>
                <w:bCs/>
                <w:color w:val="172B4D"/>
              </w:rPr>
              <w:lastRenderedPageBreak/>
              <w:t>Status for</w:t>
            </w:r>
            <w:r w:rsidRPr="00F17BFF">
              <w:rPr>
                <w:b/>
                <w:bCs/>
                <w:i/>
                <w:iCs/>
                <w:color w:val="172B4D"/>
              </w:rPr>
              <w:t> </w:t>
            </w:r>
            <w:r w:rsidRPr="00F17BFF">
              <w:rPr>
                <w:rStyle w:val="Fremhv"/>
                <w:b/>
                <w:bCs/>
                <w:i w:val="0"/>
                <w:iCs w:val="0"/>
                <w:color w:val="172B4D"/>
              </w:rPr>
              <w:t>indlevering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BD15C4D" w14:textId="77777777" w:rsidR="006B12A0" w:rsidRDefault="006B12A0" w:rsidP="006B12A0">
            <w:pPr>
              <w:rPr>
                <w:b/>
                <w:bCs/>
                <w:color w:val="172B4D"/>
              </w:rPr>
            </w:pPr>
            <w:r>
              <w:rPr>
                <w:b/>
                <w:bCs/>
                <w:color w:val="172B4D"/>
              </w:rPr>
              <w:t>Beskrivelse</w:t>
            </w:r>
          </w:p>
        </w:tc>
      </w:tr>
      <w:tr w:rsidR="00F17BFF" w14:paraId="377BC67C" w14:textId="77777777" w:rsidTr="009435F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44DA63" w14:textId="4647CAE5" w:rsidR="006B12A0" w:rsidRDefault="009435F1">
            <w:r>
              <w:t xml:space="preserve">Under </w:t>
            </w:r>
            <w:r w:rsidR="00971E27">
              <w:t>b</w:t>
            </w:r>
            <w:r>
              <w:t>ehandling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7AAE42" w14:textId="299B14C8" w:rsidR="006B12A0" w:rsidRDefault="009435F1">
            <w:r>
              <w:t xml:space="preserve">Filen er under </w:t>
            </w:r>
            <w:r w:rsidR="00E91C2C">
              <w:t>behandling. Endelig status vil fremgå senere.</w:t>
            </w:r>
          </w:p>
        </w:tc>
      </w:tr>
      <w:tr w:rsidR="00F17BFF" w14:paraId="3B70344E" w14:textId="77777777" w:rsidTr="006B12A0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7A58D8" w14:textId="1A8C74B9" w:rsidR="009435F1" w:rsidRDefault="009435F1" w:rsidP="009435F1">
            <w:r w:rsidRPr="00027A64">
              <w:t>National validering afvist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AF201F" w14:textId="1186BBB2" w:rsidR="009435F1" w:rsidRDefault="009435F1" w:rsidP="009435F1">
            <w:r>
              <w:t>Den modtagne fil er afvist af CESOP-DK, som ikke-valid.</w:t>
            </w:r>
          </w:p>
        </w:tc>
      </w:tr>
      <w:tr w:rsidR="00F17BFF" w14:paraId="64AC6B6D" w14:textId="77777777" w:rsidTr="006B12A0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12C9A7" w14:textId="5FC71AA3" w:rsidR="006B12A0" w:rsidRDefault="00487EBD">
            <w:r w:rsidRPr="00027A64">
              <w:t>CESOP-validering</w:t>
            </w:r>
            <w:r w:rsidR="00027A64" w:rsidRPr="00027A64">
              <w:t xml:space="preserve"> afvist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CECD72" w14:textId="4B3F81DE" w:rsidR="006B12A0" w:rsidRDefault="006B12A0">
            <w:r>
              <w:t>PSP XML er afvist af CESOP</w:t>
            </w:r>
            <w:r w:rsidR="00AE4BBE">
              <w:t>-EU</w:t>
            </w:r>
            <w:r>
              <w:t>, som ikke-valid.</w:t>
            </w:r>
          </w:p>
        </w:tc>
      </w:tr>
      <w:tr w:rsidR="00F17BFF" w14:paraId="021BA0B4" w14:textId="77777777" w:rsidTr="006B12A0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225D0" w14:textId="1D0495D2" w:rsidR="006B12A0" w:rsidRDefault="00487EBD">
            <w:r w:rsidRPr="00027A64">
              <w:t>CESOP-validering</w:t>
            </w:r>
            <w:r w:rsidR="00027A64" w:rsidRPr="00027A64">
              <w:t xml:space="preserve"> delvist godkendt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918802" w14:textId="5E65F0D9" w:rsidR="006B12A0" w:rsidRDefault="006B12A0">
            <w:pPr>
              <w:pStyle w:val="NormalWeb"/>
              <w:spacing w:before="0" w:beforeAutospacing="0" w:after="0" w:afterAutospacing="0"/>
            </w:pPr>
            <w:r w:rsidRPr="00487E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CESOP</w:t>
            </w:r>
            <w:r w:rsidR="00AE4B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-EU</w:t>
            </w:r>
            <w:r w:rsidRPr="00487E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kvitterer med</w:t>
            </w:r>
            <w:r w:rsidR="00AE4B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  <w:r w:rsidRPr="00487E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at kun dele af den afleverede PSP XML er valid. Indberetter </w:t>
            </w:r>
            <w:r w:rsidR="00E91C2C" w:rsidRPr="00487E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skal</w:t>
            </w:r>
            <w:r w:rsidRPr="00487E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rette de invalide dele ved at indsende en ny indberetning </w:t>
            </w:r>
            <w:r w:rsidR="00AE4B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kun </w:t>
            </w:r>
            <w:r w:rsidRPr="00487E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med rettelserne.</w:t>
            </w:r>
          </w:p>
        </w:tc>
      </w:tr>
      <w:tr w:rsidR="00F17BFF" w14:paraId="42059E78" w14:textId="77777777" w:rsidTr="006B12A0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F0C31F" w14:textId="1AB893D9" w:rsidR="006B12A0" w:rsidRDefault="00027A64">
            <w:r w:rsidRPr="00027A64">
              <w:t>Godkendt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7A8323" w14:textId="07D58E73" w:rsidR="006B12A0" w:rsidRDefault="006B12A0">
            <w:r>
              <w:t>CESOP</w:t>
            </w:r>
            <w:r w:rsidR="00AE4BBE">
              <w:t>-EU</w:t>
            </w:r>
            <w:r>
              <w:t xml:space="preserve"> kvitterer med</w:t>
            </w:r>
            <w:r w:rsidR="00AE4BBE">
              <w:t>,</w:t>
            </w:r>
            <w:r>
              <w:t xml:space="preserve"> at den afleverede PSP </w:t>
            </w:r>
            <w:proofErr w:type="gramStart"/>
            <w:r>
              <w:t>XML</w:t>
            </w:r>
            <w:proofErr w:type="gramEnd"/>
            <w:r>
              <w:t xml:space="preserve"> er valid, og dermed er den samlede indlevering behandlet og godkendt.</w:t>
            </w:r>
          </w:p>
        </w:tc>
      </w:tr>
      <w:tr w:rsidR="00F17BFF" w14:paraId="7B832B37" w14:textId="77777777" w:rsidTr="006B12A0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9D49BE" w14:textId="77777777" w:rsidR="006B12A0" w:rsidRDefault="006B12A0">
            <w:r>
              <w:t>FEJLET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22EA4B" w14:textId="2A575040" w:rsidR="006B12A0" w:rsidRDefault="006B12A0">
            <w:pPr>
              <w:pStyle w:val="NormalWeb"/>
              <w:spacing w:before="0" w:beforeAutospacing="0" w:after="0" w:afterAutospacing="0"/>
            </w:pPr>
            <w:r w:rsidRPr="00487E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CESOP</w:t>
            </w:r>
            <w:r w:rsidR="009262E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-EU</w:t>
            </w:r>
            <w:r w:rsidRPr="00487E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kan ikke behandle den modtagne PSP XML af andre årsager end kendte.</w:t>
            </w:r>
          </w:p>
        </w:tc>
      </w:tr>
    </w:tbl>
    <w:p w14:paraId="4819DA79" w14:textId="77777777" w:rsidR="00502EEE" w:rsidRPr="00502EEE" w:rsidRDefault="00502EEE" w:rsidP="00502EEE">
      <w:pPr>
        <w:rPr>
          <w:lang w:eastAsia="da-DK"/>
        </w:rPr>
      </w:pPr>
    </w:p>
    <w:p w14:paraId="5A1DBBE1" w14:textId="5C0AFB7C" w:rsidR="00A15EC3" w:rsidRDefault="004D722F" w:rsidP="004D722F">
      <w:pPr>
        <w:pStyle w:val="Overskrift1"/>
        <w:rPr>
          <w:lang w:eastAsia="da-DK"/>
        </w:rPr>
      </w:pPr>
      <w:bookmarkStart w:id="15" w:name="_Toc150171940"/>
      <w:r>
        <w:rPr>
          <w:lang w:eastAsia="da-DK"/>
        </w:rPr>
        <w:t>4</w:t>
      </w:r>
      <w:r w:rsidR="00487EBD">
        <w:rPr>
          <w:lang w:eastAsia="da-DK"/>
        </w:rPr>
        <w:t>.</w:t>
      </w:r>
      <w:r>
        <w:rPr>
          <w:lang w:eastAsia="da-DK"/>
        </w:rPr>
        <w:t xml:space="preserve"> </w:t>
      </w:r>
      <w:r w:rsidR="005F08E3">
        <w:rPr>
          <w:lang w:eastAsia="da-DK"/>
        </w:rPr>
        <w:t>Rettelser</w:t>
      </w:r>
      <w:bookmarkEnd w:id="15"/>
    </w:p>
    <w:p w14:paraId="05E31D14" w14:textId="31B77695" w:rsidR="00027A64" w:rsidRDefault="00027A64" w:rsidP="00027A64">
      <w:r>
        <w:t xml:space="preserve">Hvis de oprindeligt indberetterede betalingsdata, der har </w:t>
      </w:r>
      <w:r w:rsidR="00E91C2C">
        <w:t xml:space="preserve">status </w:t>
      </w:r>
      <w:r w:rsidR="00051CED">
        <w:t>’</w:t>
      </w:r>
      <w:r w:rsidR="00E91C2C">
        <w:t>Godkendt</w:t>
      </w:r>
      <w:r w:rsidR="00051CED">
        <w:t>’</w:t>
      </w:r>
      <w:r w:rsidR="00A829DB">
        <w:t xml:space="preserve"> eller </w:t>
      </w:r>
      <w:r w:rsidR="00051CED">
        <w:t>’</w:t>
      </w:r>
      <w:r w:rsidR="00487EBD">
        <w:t>CESOP-validering</w:t>
      </w:r>
      <w:r w:rsidR="00A829DB">
        <w:t xml:space="preserve"> delvist godkendt</w:t>
      </w:r>
      <w:r w:rsidR="00051CED">
        <w:t>’</w:t>
      </w:r>
      <w:r w:rsidR="00E91C2C">
        <w:t>,</w:t>
      </w:r>
      <w:r>
        <w:t xml:space="preserve"> </w:t>
      </w:r>
      <w:r w:rsidR="00A829DB">
        <w:t>ikke er korrekte</w:t>
      </w:r>
      <w:r w:rsidR="00F54571">
        <w:t>,</w:t>
      </w:r>
      <w:r w:rsidR="00A829DB">
        <w:t xml:space="preserve"> skal</w:t>
      </w:r>
      <w:r>
        <w:t xml:space="preserve"> </w:t>
      </w:r>
      <w:r w:rsidR="00A829DB">
        <w:t>de</w:t>
      </w:r>
      <w:r>
        <w:t xml:space="preserve"> efterfølgende rette</w:t>
      </w:r>
      <w:r w:rsidR="00A829DB">
        <w:t>s</w:t>
      </w:r>
      <w:r>
        <w:t>.</w:t>
      </w:r>
    </w:p>
    <w:p w14:paraId="36098982" w14:textId="77777777" w:rsidR="00DC49B8" w:rsidRDefault="00027A64" w:rsidP="007B311D">
      <w:r>
        <w:t xml:space="preserve">Både rettelser og sletninger udføres ved at </w:t>
      </w:r>
      <w:r w:rsidR="00A829DB">
        <w:t>indlevere</w:t>
      </w:r>
      <w:r>
        <w:t xml:space="preserve"> en ny XML-fil i </w:t>
      </w:r>
      <w:r w:rsidR="00F54571">
        <w:t xml:space="preserve">indberetningsløsningen i </w:t>
      </w:r>
      <w:hyperlink r:id="rId14" w:history="1">
        <w:proofErr w:type="spellStart"/>
        <w:r w:rsidR="00F54571" w:rsidRPr="00F54571">
          <w:rPr>
            <w:rStyle w:val="Hyperlink"/>
          </w:rPr>
          <w:t>TastSelv</w:t>
        </w:r>
        <w:proofErr w:type="spellEnd"/>
        <w:r w:rsidR="00F54571" w:rsidRPr="00F54571">
          <w:rPr>
            <w:rStyle w:val="Hyperlink"/>
          </w:rPr>
          <w:t xml:space="preserve"> Erhverv</w:t>
        </w:r>
      </w:hyperlink>
      <w:r w:rsidR="00D87EF0">
        <w:t xml:space="preserve">. I den nye fil skal I angive, </w:t>
      </w:r>
      <w:r w:rsidR="00A829DB">
        <w:t xml:space="preserve">hvilken sektion i </w:t>
      </w:r>
      <w:r w:rsidR="00D87EF0">
        <w:t>d</w:t>
      </w:r>
      <w:r w:rsidR="00A829DB">
        <w:t>en tidligere indberetning der ønskes korrigeret</w:t>
      </w:r>
      <w:r>
        <w:t xml:space="preserve">. </w:t>
      </w:r>
      <w:r w:rsidR="00D87EF0">
        <w:t xml:space="preserve">Det </w:t>
      </w:r>
      <w:r w:rsidR="00A829DB">
        <w:t>gør</w:t>
      </w:r>
      <w:r w:rsidR="00D87EF0">
        <w:t xml:space="preserve"> I</w:t>
      </w:r>
      <w:r w:rsidR="00A829DB">
        <w:t xml:space="preserve"> ved at </w:t>
      </w:r>
      <w:r w:rsidR="006D2D09">
        <w:t xml:space="preserve">henvise til en tidligere indberetnings </w:t>
      </w:r>
      <w:proofErr w:type="spellStart"/>
      <w:r w:rsidR="006D2D09">
        <w:t>DocRefID</w:t>
      </w:r>
      <w:proofErr w:type="spellEnd"/>
      <w:r w:rsidR="006D2D09">
        <w:t>, nu som ”</w:t>
      </w:r>
      <w:proofErr w:type="spellStart"/>
      <w:r w:rsidR="006D2D09">
        <w:t>CorrDocRefId</w:t>
      </w:r>
      <w:proofErr w:type="spellEnd"/>
      <w:r w:rsidR="006D2D09">
        <w:t>”</w:t>
      </w:r>
      <w:r w:rsidR="00D87EF0">
        <w:t>.</w:t>
      </w:r>
      <w:r>
        <w:t xml:space="preserve"> </w:t>
      </w:r>
    </w:p>
    <w:p w14:paraId="57CDAD46" w14:textId="35FFEBE5" w:rsidR="007B311D" w:rsidRDefault="007B311D" w:rsidP="007B311D">
      <w:r>
        <w:t xml:space="preserve">Ved </w:t>
      </w:r>
      <w:r>
        <w:t>rettelser eller sletninger af tidligere sendte data s</w:t>
      </w:r>
      <w:r>
        <w:t>kal</w:t>
      </w:r>
      <w:r>
        <w:t xml:space="preserve"> </w:t>
      </w:r>
      <w:bookmarkStart w:id="16" w:name="_Hlk203129457"/>
      <w:proofErr w:type="spellStart"/>
      <w:r>
        <w:t>MessageTypeIndic</w:t>
      </w:r>
      <w:proofErr w:type="spellEnd"/>
      <w:r>
        <w:t xml:space="preserve"> være </w:t>
      </w:r>
      <w:r>
        <w:t>CESOP101</w:t>
      </w:r>
      <w:bookmarkEnd w:id="16"/>
      <w:r>
        <w:t>.</w:t>
      </w:r>
    </w:p>
    <w:p w14:paraId="48101D73" w14:textId="77777777" w:rsidR="007B311D" w:rsidRDefault="007B311D" w:rsidP="007B311D">
      <w:r>
        <w:t>Valideringsregler, som gjaldt for den oprindelige indberetning, gælder også for den nye fil med ændringerne. Samtidig skal du være opmærksom på de særlige regler, der gælder for rettelser og sletninger.</w:t>
      </w:r>
    </w:p>
    <w:p w14:paraId="2D46AAFB" w14:textId="77777777" w:rsidR="007B311D" w:rsidRDefault="007B311D" w:rsidP="007B311D">
      <w:r>
        <w:t xml:space="preserve">Det er muligt at lave rettelser til rettelser efter samme princip, som beskrevet ovenfor. </w:t>
      </w:r>
    </w:p>
    <w:p w14:paraId="39E42B99" w14:textId="5B12B1BA" w:rsidR="006D2D09" w:rsidRDefault="007B311D" w:rsidP="00027A64">
      <w:r>
        <w:t>For en detaljeret gennemgang af rettelsesprincippet henvises til XSD User Guiden fra EU, sektion 3.3.</w:t>
      </w:r>
    </w:p>
    <w:p w14:paraId="33AD5211" w14:textId="1D325354" w:rsidR="00027A64" w:rsidRDefault="006D2D09" w:rsidP="00027A64">
      <w:r>
        <w:t>V</w:t>
      </w:r>
      <w:r w:rsidR="00027A64">
        <w:t>alideringsregler, som gjaldt for den oprindelige indberetning, gælder også for den nye fil med ændringer</w:t>
      </w:r>
      <w:r w:rsidR="00612B8B">
        <w:t>ne</w:t>
      </w:r>
      <w:r w:rsidR="00027A64">
        <w:t>.</w:t>
      </w:r>
      <w:r>
        <w:t xml:space="preserve"> </w:t>
      </w:r>
      <w:r w:rsidR="00A829DB">
        <w:t>Samtidig skal du være opmærksom på de særlige regler</w:t>
      </w:r>
      <w:r w:rsidR="00612B8B">
        <w:t>,</w:t>
      </w:r>
      <w:r w:rsidR="00A829DB">
        <w:t xml:space="preserve"> der gælder for rettelser og sletninger.</w:t>
      </w:r>
    </w:p>
    <w:p w14:paraId="7278E82A" w14:textId="4703C242" w:rsidR="006D2D09" w:rsidRDefault="00027A64" w:rsidP="00027A64">
      <w:r>
        <w:t xml:space="preserve">Det er muligt at lave rettelser til rettelser efter samme </w:t>
      </w:r>
      <w:r w:rsidR="006D2D09">
        <w:t>princip</w:t>
      </w:r>
      <w:r w:rsidR="00612B8B">
        <w:t>,</w:t>
      </w:r>
      <w:r w:rsidR="006D2D09">
        <w:t xml:space="preserve"> som beskrevet ovenfor</w:t>
      </w:r>
      <w:r>
        <w:t xml:space="preserve">. </w:t>
      </w:r>
    </w:p>
    <w:p w14:paraId="1B3222AE" w14:textId="5C2ABCB5" w:rsidR="00027A64" w:rsidRDefault="006D2D09" w:rsidP="00027A64">
      <w:r>
        <w:t>For en detaljeret gennemgang af rettelsesprincippet henvises til XSD User Guiden fra EU</w:t>
      </w:r>
      <w:r w:rsidR="00DE4C46">
        <w:t>, sektion 3.3.</w:t>
      </w:r>
    </w:p>
    <w:p w14:paraId="1B2C9EC5" w14:textId="77777777" w:rsidR="00413C65" w:rsidRPr="00413C65" w:rsidRDefault="00413C65" w:rsidP="00413C65">
      <w:pPr>
        <w:rPr>
          <w:lang w:eastAsia="da-DK"/>
        </w:rPr>
      </w:pPr>
    </w:p>
    <w:sectPr w:rsidR="00413C65" w:rsidRPr="00413C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1A05" w14:textId="77777777" w:rsidR="00AD394F" w:rsidRDefault="00AD394F" w:rsidP="006868F7">
      <w:pPr>
        <w:spacing w:after="0" w:line="240" w:lineRule="auto"/>
      </w:pPr>
      <w:r>
        <w:separator/>
      </w:r>
    </w:p>
  </w:endnote>
  <w:endnote w:type="continuationSeparator" w:id="0">
    <w:p w14:paraId="7F407E38" w14:textId="77777777" w:rsidR="00AD394F" w:rsidRDefault="00AD394F" w:rsidP="006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0142" w14:textId="77777777" w:rsidR="00F61C59" w:rsidRDefault="00F61C5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98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7D81C" w14:textId="32FD2178" w:rsidR="0026058A" w:rsidRDefault="0026058A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E5487" w14:textId="77777777" w:rsidR="0026058A" w:rsidRDefault="0026058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E6D2" w14:textId="77777777" w:rsidR="00F61C59" w:rsidRDefault="00F61C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073D" w14:textId="77777777" w:rsidR="00AD394F" w:rsidRDefault="00AD394F" w:rsidP="006868F7">
      <w:pPr>
        <w:spacing w:after="0" w:line="240" w:lineRule="auto"/>
      </w:pPr>
      <w:r>
        <w:separator/>
      </w:r>
    </w:p>
  </w:footnote>
  <w:footnote w:type="continuationSeparator" w:id="0">
    <w:p w14:paraId="7DB3B5C3" w14:textId="77777777" w:rsidR="00AD394F" w:rsidRDefault="00AD394F" w:rsidP="006868F7">
      <w:pPr>
        <w:spacing w:after="0" w:line="240" w:lineRule="auto"/>
      </w:pPr>
      <w:r>
        <w:continuationSeparator/>
      </w:r>
    </w:p>
  </w:footnote>
  <w:footnote w:id="1">
    <w:p w14:paraId="6E5A49FE" w14:textId="77777777" w:rsidR="00A31952" w:rsidRDefault="00A31952" w:rsidP="00A31952">
      <w:pPr>
        <w:pStyle w:val="Fodnotetekst"/>
      </w:pPr>
      <w:r>
        <w:rPr>
          <w:rStyle w:val="Fodnotehenvisning"/>
        </w:rPr>
        <w:footnoteRef/>
      </w:r>
      <w:r>
        <w:t xml:space="preserve"> Payment Service Provider</w:t>
      </w:r>
    </w:p>
  </w:footnote>
  <w:footnote w:id="2">
    <w:p w14:paraId="18D590AF" w14:textId="77777777" w:rsidR="00A31952" w:rsidRDefault="00A31952" w:rsidP="00A31952">
      <w:pPr>
        <w:pStyle w:val="Fodnotetekst"/>
      </w:pPr>
      <w:r>
        <w:rPr>
          <w:rStyle w:val="Fodnotehenvisning"/>
        </w:rPr>
        <w:footnoteRef/>
      </w:r>
      <w:r>
        <w:t xml:space="preserve"> CESOP (Central Electronic System of Payment Information) er et system, der vedligeholdes af Europa-Kommissionen, og som indsamler grænseoverskridende betalingstransaktionsdata, som medlemsstaterne indsamler fra betalingstjenesteudbyderne.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9CF4" w14:textId="77777777" w:rsidR="00F61C59" w:rsidRDefault="00F61C5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5CF3" w14:textId="44E76169" w:rsidR="006868F7" w:rsidRDefault="00F61C59">
    <w:pPr>
      <w:pStyle w:val="Sidehoved"/>
    </w:pPr>
    <w:r>
      <w:t>CESOP XML</w:t>
    </w:r>
    <w:r w:rsidR="00754623">
      <w:t xml:space="preserve"> </w:t>
    </w:r>
    <w:r w:rsidR="006868F7">
      <w:t>indberetningsvejledning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419F" w14:textId="77777777" w:rsidR="00F61C59" w:rsidRDefault="00F61C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0375"/>
    <w:multiLevelType w:val="hybridMultilevel"/>
    <w:tmpl w:val="4FA0FB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6D2C"/>
    <w:multiLevelType w:val="hybridMultilevel"/>
    <w:tmpl w:val="220EF1B2"/>
    <w:lvl w:ilvl="0" w:tplc="F2623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692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2BC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29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0E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24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A4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ED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64180699">
    <w:abstractNumId w:val="1"/>
  </w:num>
  <w:num w:numId="2" w16cid:durableId="136637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7"/>
    <w:rsid w:val="0002379F"/>
    <w:rsid w:val="00027A64"/>
    <w:rsid w:val="00051CED"/>
    <w:rsid w:val="0009788B"/>
    <w:rsid w:val="000D1EB2"/>
    <w:rsid w:val="00101543"/>
    <w:rsid w:val="00110485"/>
    <w:rsid w:val="001835BB"/>
    <w:rsid w:val="00194C68"/>
    <w:rsid w:val="001D30AF"/>
    <w:rsid w:val="002201B4"/>
    <w:rsid w:val="002210E2"/>
    <w:rsid w:val="0025098E"/>
    <w:rsid w:val="0025302B"/>
    <w:rsid w:val="00256FC0"/>
    <w:rsid w:val="0026058A"/>
    <w:rsid w:val="00273F01"/>
    <w:rsid w:val="0027401E"/>
    <w:rsid w:val="00277D3F"/>
    <w:rsid w:val="00296CDE"/>
    <w:rsid w:val="002A5E0E"/>
    <w:rsid w:val="002C75A7"/>
    <w:rsid w:val="0030301F"/>
    <w:rsid w:val="003125D8"/>
    <w:rsid w:val="00317B28"/>
    <w:rsid w:val="003B3E04"/>
    <w:rsid w:val="003E670A"/>
    <w:rsid w:val="00413C65"/>
    <w:rsid w:val="0041723A"/>
    <w:rsid w:val="0042324E"/>
    <w:rsid w:val="004249CE"/>
    <w:rsid w:val="004270DF"/>
    <w:rsid w:val="0043187D"/>
    <w:rsid w:val="0044090F"/>
    <w:rsid w:val="004546C6"/>
    <w:rsid w:val="004576E3"/>
    <w:rsid w:val="00466418"/>
    <w:rsid w:val="00487EBD"/>
    <w:rsid w:val="004919B9"/>
    <w:rsid w:val="004C40D0"/>
    <w:rsid w:val="004D722F"/>
    <w:rsid w:val="004E1752"/>
    <w:rsid w:val="004E7411"/>
    <w:rsid w:val="004F3822"/>
    <w:rsid w:val="00502EEE"/>
    <w:rsid w:val="00504F9B"/>
    <w:rsid w:val="00514B9A"/>
    <w:rsid w:val="00514D3C"/>
    <w:rsid w:val="00544FEF"/>
    <w:rsid w:val="00571557"/>
    <w:rsid w:val="00575047"/>
    <w:rsid w:val="005765F9"/>
    <w:rsid w:val="00596733"/>
    <w:rsid w:val="005A3DF1"/>
    <w:rsid w:val="005C5CAE"/>
    <w:rsid w:val="005E2863"/>
    <w:rsid w:val="005E40C9"/>
    <w:rsid w:val="005F08E3"/>
    <w:rsid w:val="0060173B"/>
    <w:rsid w:val="00602787"/>
    <w:rsid w:val="00612B8B"/>
    <w:rsid w:val="0061372F"/>
    <w:rsid w:val="0065510A"/>
    <w:rsid w:val="00662397"/>
    <w:rsid w:val="00665714"/>
    <w:rsid w:val="006868F7"/>
    <w:rsid w:val="00691328"/>
    <w:rsid w:val="00695897"/>
    <w:rsid w:val="006B12A0"/>
    <w:rsid w:val="006D2D09"/>
    <w:rsid w:val="007004ED"/>
    <w:rsid w:val="00704A5C"/>
    <w:rsid w:val="00731E1D"/>
    <w:rsid w:val="007519F4"/>
    <w:rsid w:val="00754623"/>
    <w:rsid w:val="00793C4A"/>
    <w:rsid w:val="007B311D"/>
    <w:rsid w:val="007B5420"/>
    <w:rsid w:val="007C6185"/>
    <w:rsid w:val="007D4A18"/>
    <w:rsid w:val="007D66F5"/>
    <w:rsid w:val="007E5E3B"/>
    <w:rsid w:val="007F3AED"/>
    <w:rsid w:val="00810BF2"/>
    <w:rsid w:val="0082550A"/>
    <w:rsid w:val="00827701"/>
    <w:rsid w:val="0085548A"/>
    <w:rsid w:val="008C74AF"/>
    <w:rsid w:val="008D0985"/>
    <w:rsid w:val="008D315A"/>
    <w:rsid w:val="008D5A13"/>
    <w:rsid w:val="008F2319"/>
    <w:rsid w:val="008F38BA"/>
    <w:rsid w:val="00902499"/>
    <w:rsid w:val="009262E8"/>
    <w:rsid w:val="009435F1"/>
    <w:rsid w:val="009461A0"/>
    <w:rsid w:val="00971E27"/>
    <w:rsid w:val="0099507F"/>
    <w:rsid w:val="00A15EC3"/>
    <w:rsid w:val="00A31952"/>
    <w:rsid w:val="00A74ABE"/>
    <w:rsid w:val="00A820A4"/>
    <w:rsid w:val="00A829DB"/>
    <w:rsid w:val="00A94504"/>
    <w:rsid w:val="00AA0244"/>
    <w:rsid w:val="00AD394F"/>
    <w:rsid w:val="00AE4BBE"/>
    <w:rsid w:val="00AE5206"/>
    <w:rsid w:val="00AE7248"/>
    <w:rsid w:val="00B014DA"/>
    <w:rsid w:val="00B25AB8"/>
    <w:rsid w:val="00B365F0"/>
    <w:rsid w:val="00B41171"/>
    <w:rsid w:val="00B41F9B"/>
    <w:rsid w:val="00B67BED"/>
    <w:rsid w:val="00B7211D"/>
    <w:rsid w:val="00B77054"/>
    <w:rsid w:val="00BA4AE7"/>
    <w:rsid w:val="00BC3665"/>
    <w:rsid w:val="00BE71B5"/>
    <w:rsid w:val="00C1088E"/>
    <w:rsid w:val="00C35EC8"/>
    <w:rsid w:val="00CD50DD"/>
    <w:rsid w:val="00CE2CC8"/>
    <w:rsid w:val="00CF405B"/>
    <w:rsid w:val="00D03167"/>
    <w:rsid w:val="00D113B1"/>
    <w:rsid w:val="00D229B4"/>
    <w:rsid w:val="00D35D2B"/>
    <w:rsid w:val="00D56002"/>
    <w:rsid w:val="00D71648"/>
    <w:rsid w:val="00D87DFA"/>
    <w:rsid w:val="00D87EF0"/>
    <w:rsid w:val="00DB069C"/>
    <w:rsid w:val="00DB725D"/>
    <w:rsid w:val="00DC49B8"/>
    <w:rsid w:val="00DC4A74"/>
    <w:rsid w:val="00DE06FA"/>
    <w:rsid w:val="00DE4C46"/>
    <w:rsid w:val="00E05984"/>
    <w:rsid w:val="00E35F04"/>
    <w:rsid w:val="00E52605"/>
    <w:rsid w:val="00E55A4C"/>
    <w:rsid w:val="00E85910"/>
    <w:rsid w:val="00E91C2C"/>
    <w:rsid w:val="00EA111D"/>
    <w:rsid w:val="00EF5E0C"/>
    <w:rsid w:val="00F12BAC"/>
    <w:rsid w:val="00F17BFF"/>
    <w:rsid w:val="00F54218"/>
    <w:rsid w:val="00F54571"/>
    <w:rsid w:val="00F61C59"/>
    <w:rsid w:val="00F71D94"/>
    <w:rsid w:val="00FE46B8"/>
    <w:rsid w:val="00FE6ACF"/>
    <w:rsid w:val="00FF1794"/>
    <w:rsid w:val="00FF463D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C858"/>
  <w15:chartTrackingRefBased/>
  <w15:docId w15:val="{2991DDD7-992F-4A39-AD97-52852E2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F7"/>
    <w:pPr>
      <w:spacing w:line="256" w:lineRule="auto"/>
    </w:pPr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qFormat/>
    <w:rsid w:val="00E05984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05984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05984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E05984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05984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05984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05984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05984"/>
    <w:rPr>
      <w:rFonts w:ascii="Times New Roman" w:hAnsi="Times New Roman" w:cs="Times New Roman"/>
      <w:bCs/>
      <w:i/>
      <w:sz w:val="24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6868F7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26058A"/>
    <w:pPr>
      <w:keepNext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6058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6058A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058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058A"/>
    <w:rPr>
      <w:rFonts w:eastAsiaTheme="minorHAns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058A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7B5420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0D1EB2"/>
    <w:rPr>
      <w:i/>
      <w:iCs/>
    </w:rPr>
  </w:style>
  <w:style w:type="character" w:styleId="Strk">
    <w:name w:val="Strong"/>
    <w:basedOn w:val="Standardskrifttypeiafsnit"/>
    <w:uiPriority w:val="22"/>
    <w:qFormat/>
    <w:rsid w:val="000D1EB2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B725D"/>
    <w:rPr>
      <w:color w:val="954F72" w:themeColor="followed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5462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54623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6B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7D4A18"/>
    <w:pPr>
      <w:spacing w:after="0" w:line="240" w:lineRule="auto"/>
    </w:pPr>
    <w:rPr>
      <w:rFonts w:eastAsia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4A1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D4A1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D4A18"/>
    <w:rPr>
      <w:rFonts w:eastAsia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031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03167"/>
    <w:rPr>
      <w:rFonts w:eastAsiaTheme="minorHAnsi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A3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2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3862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56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190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at.dk/tastselverhver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kat.dk/tastselverhver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xation-customs.ec.europa.eu/taxation-1/central-electronic-system-payment-information-cesop_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kat.dk/tastselverhver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6_ndringstidspunkt xmlns="5ffbd8be-940a-47db-b8cf-ccea749655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5E45C4A1DBB5458CF26E9C3A4F7B02" ma:contentTypeVersion="6" ma:contentTypeDescription="Opret et nyt dokument." ma:contentTypeScope="" ma:versionID="f1ee16a9be53229e9781d64c224c38ea">
  <xsd:schema xmlns:xsd="http://www.w3.org/2001/XMLSchema" xmlns:xs="http://www.w3.org/2001/XMLSchema" xmlns:p="http://schemas.microsoft.com/office/2006/metadata/properties" xmlns:ns2="5ffbd8be-940a-47db-b8cf-ccea74965527" targetNamespace="http://schemas.microsoft.com/office/2006/metadata/properties" ma:root="true" ma:fieldsID="289b4a881b5e36af38c258990dc3a564" ns2:_="">
    <xsd:import namespace="5ffbd8be-940a-47db-b8cf-ccea7496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x00c6_ndringstidspunk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d8be-940a-47db-b8cf-ccea74965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c6_ndringstidspunkt" ma:index="12" nillable="true" ma:displayName="Ændringstidspunkt" ma:format="DateTime" ma:internalName="_x00c6_ndringstidspunkt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0FD35-E522-4EAC-AC44-BAB5132D1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C35FD-2580-4057-AFE2-4AA17D2BEDAE}">
  <ds:schemaRefs>
    <ds:schemaRef ds:uri="http://schemas.microsoft.com/office/2006/metadata/properties"/>
    <ds:schemaRef ds:uri="http://schemas.microsoft.com/office/infopath/2007/PartnerControls"/>
    <ds:schemaRef ds:uri="5ffbd8be-940a-47db-b8cf-ccea74965527"/>
  </ds:schemaRefs>
</ds:datastoreItem>
</file>

<file path=customXml/itemProps3.xml><?xml version="1.0" encoding="utf-8"?>
<ds:datastoreItem xmlns:ds="http://schemas.openxmlformats.org/officeDocument/2006/customXml" ds:itemID="{3EC6A006-27BF-4E01-B280-4649E51761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5A7513-ABBD-48B7-B190-140762E36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bd8be-940a-47db-b8cf-ccea7496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1534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CESOP XML</vt:lpstr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CESOP XML</dc:title>
  <dc:subject>CESOP</dc:subject>
  <dc:creator>Morten Winther</dc:creator>
  <cp:keywords>CESOP</cp:keywords>
  <dc:description/>
  <cp:lastModifiedBy>Morten Hedegaard Nielsen</cp:lastModifiedBy>
  <cp:revision>4</cp:revision>
  <cp:lastPrinted>2025-07-04T12:11:00Z</cp:lastPrinted>
  <dcterms:created xsi:type="dcterms:W3CDTF">2025-07-10T12:17:00Z</dcterms:created>
  <dcterms:modified xsi:type="dcterms:W3CDTF">2025-07-11T10:34:00Z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0x010100C35E45C4A1DBB5458CF26E9C3A4F7B02</vt:lpwstr>
  </property>
</Properties>
</file>